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61" w:rsidRDefault="00852861">
      <w:pPr>
        <w:spacing w:after="200" w:line="276" w:lineRule="auto"/>
        <w:rPr>
          <w:lang w:val="en-AU"/>
        </w:rPr>
      </w:pPr>
    </w:p>
    <w:p w:rsidR="00852861" w:rsidRDefault="00852861">
      <w:pPr>
        <w:spacing w:after="200" w:line="276" w:lineRule="auto"/>
        <w:rPr>
          <w:lang w:val="en-AU"/>
        </w:rPr>
      </w:pPr>
    </w:p>
    <w:p w:rsidR="00852861" w:rsidRDefault="00852861">
      <w:pPr>
        <w:spacing w:after="200" w:line="276" w:lineRule="auto"/>
        <w:rPr>
          <w:lang w:val="en-AU"/>
        </w:rPr>
      </w:pPr>
    </w:p>
    <w:p w:rsidR="00852861" w:rsidRDefault="00852861">
      <w:pPr>
        <w:spacing w:after="200" w:line="276" w:lineRule="auto"/>
        <w:rPr>
          <w:lang w:val="en-AU"/>
        </w:rPr>
      </w:pPr>
    </w:p>
    <w:p w:rsidR="00852861" w:rsidRDefault="00852861">
      <w:pPr>
        <w:spacing w:after="200" w:line="276" w:lineRule="auto"/>
        <w:rPr>
          <w:lang w:val="en-AU"/>
        </w:rPr>
      </w:pPr>
    </w:p>
    <w:p w:rsidR="00852861" w:rsidRDefault="00852861">
      <w:pPr>
        <w:spacing w:after="200" w:line="276" w:lineRule="auto"/>
        <w:rPr>
          <w:lang w:val="en-AU"/>
        </w:rPr>
      </w:pPr>
    </w:p>
    <w:p w:rsidR="00852861" w:rsidRDefault="00852861">
      <w:pPr>
        <w:spacing w:after="200" w:line="276" w:lineRule="auto"/>
        <w:rPr>
          <w:lang w:val="en-AU"/>
        </w:rPr>
      </w:pPr>
    </w:p>
    <w:p w:rsidR="00614047" w:rsidRDefault="0084236D">
      <w:pPr>
        <w:spacing w:after="200" w:line="276" w:lineRule="auto"/>
        <w:jc w:val="center"/>
        <w:rPr>
          <w:b/>
          <w:sz w:val="28"/>
          <w:lang w:val="en-AU"/>
        </w:rPr>
      </w:pPr>
      <w:r>
        <w:rPr>
          <w:b/>
          <w:sz w:val="28"/>
          <w:lang w:val="en-AU"/>
        </w:rPr>
        <w:t xml:space="preserve">Data Survey: </w:t>
      </w:r>
      <w:r w:rsidR="00562D45">
        <w:rPr>
          <w:b/>
          <w:sz w:val="28"/>
          <w:lang w:val="en-AU"/>
        </w:rPr>
        <w:t>Administrative and Survey Data in Personnel Economics</w:t>
      </w:r>
    </w:p>
    <w:p w:rsidR="00614047" w:rsidRDefault="00614047">
      <w:pPr>
        <w:spacing w:after="200" w:line="276" w:lineRule="auto"/>
        <w:jc w:val="center"/>
        <w:rPr>
          <w:lang w:val="en-AU"/>
        </w:rPr>
      </w:pPr>
    </w:p>
    <w:p w:rsidR="00614047" w:rsidRDefault="005D48DE">
      <w:pPr>
        <w:spacing w:after="200" w:line="276" w:lineRule="auto"/>
        <w:jc w:val="center"/>
        <w:rPr>
          <w:b/>
          <w:lang w:val="en-AU"/>
        </w:rPr>
      </w:pPr>
      <w:r w:rsidRPr="005D48DE">
        <w:rPr>
          <w:b/>
          <w:lang w:val="en-AU"/>
        </w:rPr>
        <w:t>Jesper Bagger</w:t>
      </w:r>
    </w:p>
    <w:p w:rsidR="00614047" w:rsidRDefault="00852861">
      <w:pPr>
        <w:spacing w:after="200" w:line="276" w:lineRule="auto"/>
        <w:jc w:val="center"/>
        <w:rPr>
          <w:lang w:val="en-AU"/>
        </w:rPr>
      </w:pPr>
      <w:proofErr w:type="gramStart"/>
      <w:r>
        <w:rPr>
          <w:lang w:val="en-AU"/>
        </w:rPr>
        <w:t xml:space="preserve">Royal Holloway, University of London and </w:t>
      </w:r>
      <w:r w:rsidRPr="00852861">
        <w:rPr>
          <w:lang w:val="en-AU"/>
        </w:rPr>
        <w:t>CAP, Aarhus University.</w:t>
      </w:r>
      <w:proofErr w:type="gramEnd"/>
    </w:p>
    <w:p w:rsidR="00614047" w:rsidRDefault="00614047">
      <w:pPr>
        <w:spacing w:after="200" w:line="276" w:lineRule="auto"/>
        <w:jc w:val="center"/>
        <w:rPr>
          <w:lang w:val="en-AU"/>
        </w:rPr>
      </w:pPr>
    </w:p>
    <w:p w:rsidR="00614047" w:rsidRDefault="005D48DE">
      <w:pPr>
        <w:spacing w:after="200" w:line="276" w:lineRule="auto"/>
        <w:jc w:val="center"/>
        <w:rPr>
          <w:b/>
          <w:lang w:val="en-AU"/>
        </w:rPr>
      </w:pPr>
      <w:r w:rsidRPr="005D48DE">
        <w:rPr>
          <w:b/>
          <w:lang w:val="en-AU"/>
        </w:rPr>
        <w:t>Andrew Seltzer</w:t>
      </w:r>
    </w:p>
    <w:p w:rsidR="00614047" w:rsidRDefault="00852861">
      <w:pPr>
        <w:spacing w:after="200" w:line="276" w:lineRule="auto"/>
        <w:jc w:val="center"/>
        <w:rPr>
          <w:lang w:val="en-AU"/>
        </w:rPr>
      </w:pPr>
      <w:r>
        <w:rPr>
          <w:lang w:val="en-AU"/>
        </w:rPr>
        <w:t xml:space="preserve">Royal Holloway, University of London; </w:t>
      </w:r>
      <w:r w:rsidRPr="00852861">
        <w:rPr>
          <w:lang w:val="en-AU"/>
        </w:rPr>
        <w:t xml:space="preserve">Centre for Economic History, </w:t>
      </w:r>
      <w:r>
        <w:rPr>
          <w:lang w:val="en-AU"/>
        </w:rPr>
        <w:t xml:space="preserve">Australian National University; </w:t>
      </w:r>
      <w:r w:rsidRPr="00852861">
        <w:rPr>
          <w:lang w:val="en-AU"/>
        </w:rPr>
        <w:t>IZA</w:t>
      </w:r>
      <w:r>
        <w:rPr>
          <w:lang w:val="en-AU"/>
        </w:rPr>
        <w:t xml:space="preserve">; </w:t>
      </w:r>
      <w:r w:rsidRPr="00852861">
        <w:rPr>
          <w:lang w:val="en-AU"/>
        </w:rPr>
        <w:t>Institute for Compensat</w:t>
      </w:r>
      <w:r>
        <w:rPr>
          <w:lang w:val="en-AU"/>
        </w:rPr>
        <w:t>ion Studies, Cornell University.</w:t>
      </w:r>
    </w:p>
    <w:p w:rsidR="0084236D" w:rsidRPr="00EE1323" w:rsidRDefault="00852861" w:rsidP="00EE1323">
      <w:pPr>
        <w:spacing w:line="276" w:lineRule="auto"/>
        <w:rPr>
          <w:b/>
          <w:lang w:val="en-AU"/>
        </w:rPr>
      </w:pPr>
      <w:r w:rsidRPr="00EE1323">
        <w:rPr>
          <w:lang w:val="en-AU"/>
        </w:rPr>
        <w:br w:type="page"/>
      </w:r>
      <w:r w:rsidR="00C8448E" w:rsidRPr="00C8448E">
        <w:rPr>
          <w:b/>
          <w:lang w:val="en-AU"/>
        </w:rPr>
        <w:lastRenderedPageBreak/>
        <w:t>1. Introduction</w:t>
      </w:r>
    </w:p>
    <w:p w:rsidR="00EE1323" w:rsidRDefault="00EE1323" w:rsidP="00EE1323">
      <w:pPr>
        <w:spacing w:line="276" w:lineRule="auto"/>
        <w:rPr>
          <w:lang w:val="en-AU"/>
        </w:rPr>
      </w:pPr>
    </w:p>
    <w:p w:rsidR="00593BB9" w:rsidRPr="0084236D" w:rsidRDefault="00AE35E0" w:rsidP="00EE1323">
      <w:pPr>
        <w:spacing w:line="276" w:lineRule="auto"/>
        <w:rPr>
          <w:lang w:val="en-AU"/>
        </w:rPr>
      </w:pPr>
      <w:r w:rsidRPr="0084236D">
        <w:rPr>
          <w:lang w:val="en-AU"/>
        </w:rPr>
        <w:t>P</w:t>
      </w:r>
      <w:r w:rsidR="00244970" w:rsidRPr="0084236D">
        <w:rPr>
          <w:lang w:val="en-AU"/>
        </w:rPr>
        <w:t>ersonnel economics – the analysis of strategic decisions taken by firms with regard to hiring, training, job assignments and compensation of their workers</w:t>
      </w:r>
      <w:r w:rsidR="00D679D2" w:rsidRPr="0084236D">
        <w:rPr>
          <w:lang w:val="en-AU"/>
        </w:rPr>
        <w:t xml:space="preserve"> – has been </w:t>
      </w:r>
      <w:r w:rsidR="00EC361E" w:rsidRPr="0084236D">
        <w:rPr>
          <w:lang w:val="en-AU"/>
        </w:rPr>
        <w:t>a fast</w:t>
      </w:r>
      <w:r w:rsidRPr="0084236D">
        <w:rPr>
          <w:lang w:val="en-AU"/>
        </w:rPr>
        <w:t xml:space="preserve"> growing sub-field of economics over the last two decades. The underlying issues of </w:t>
      </w:r>
      <w:r w:rsidR="00D803E6" w:rsidRPr="0084236D">
        <w:rPr>
          <w:lang w:val="en-AU"/>
        </w:rPr>
        <w:t xml:space="preserve">personnel economics are not new; </w:t>
      </w:r>
      <w:r w:rsidRPr="0084236D">
        <w:rPr>
          <w:lang w:val="en-AU"/>
        </w:rPr>
        <w:t xml:space="preserve">economic theorists have been examining labour contracts for decades; however, empirical work has long lagged behind theory. </w:t>
      </w:r>
      <w:r w:rsidR="00593BB9" w:rsidRPr="00EE1323">
        <w:rPr>
          <w:lang w:val="en-AU"/>
        </w:rPr>
        <w:t xml:space="preserve">One of biggest issues hindering empirical </w:t>
      </w:r>
      <w:r w:rsidR="00C8448E">
        <w:rPr>
          <w:lang w:val="en-AU"/>
        </w:rPr>
        <w:t xml:space="preserve">research has been gaining access to suitable data, specifically firm-level administrative records. </w:t>
      </w:r>
    </w:p>
    <w:p w:rsidR="00826F75" w:rsidRPr="000F2880" w:rsidRDefault="00826F75" w:rsidP="005A5089">
      <w:pPr>
        <w:spacing w:line="276" w:lineRule="auto"/>
        <w:rPr>
          <w:lang w:val="en-AU"/>
        </w:rPr>
      </w:pPr>
    </w:p>
    <w:p w:rsidR="00826F75" w:rsidRDefault="00593BB9" w:rsidP="005A5089">
      <w:pPr>
        <w:spacing w:line="276" w:lineRule="auto"/>
        <w:rPr>
          <w:lang w:val="en-AU"/>
        </w:rPr>
      </w:pPr>
      <w:r w:rsidRPr="000F2880">
        <w:rPr>
          <w:lang w:val="en-AU"/>
        </w:rPr>
        <w:t>O</w:t>
      </w:r>
      <w:r w:rsidR="00594333" w:rsidRPr="000F2880">
        <w:rPr>
          <w:lang w:val="en-AU"/>
        </w:rPr>
        <w:t xml:space="preserve">ver the past two decades, researchers have </w:t>
      </w:r>
      <w:r w:rsidR="00826F75" w:rsidRPr="000F2880">
        <w:rPr>
          <w:lang w:val="en-AU"/>
        </w:rPr>
        <w:t>gained increased</w:t>
      </w:r>
      <w:r w:rsidR="00594333" w:rsidRPr="000F2880">
        <w:rPr>
          <w:lang w:val="en-AU"/>
        </w:rPr>
        <w:t xml:space="preserve"> access </w:t>
      </w:r>
      <w:r w:rsidR="00826F75" w:rsidRPr="000F2880">
        <w:rPr>
          <w:lang w:val="en-AU"/>
        </w:rPr>
        <w:t xml:space="preserve">to </w:t>
      </w:r>
      <w:r w:rsidR="00594333" w:rsidRPr="000F2880">
        <w:rPr>
          <w:lang w:val="en-AU"/>
        </w:rPr>
        <w:t>personnel data.</w:t>
      </w:r>
      <w:r w:rsidR="00826F75" w:rsidRPr="000F2880">
        <w:rPr>
          <w:lang w:val="en-AU"/>
        </w:rPr>
        <w:t xml:space="preserve"> </w:t>
      </w:r>
      <w:r w:rsidR="00EC361E">
        <w:rPr>
          <w:lang w:val="en-AU"/>
        </w:rPr>
        <w:t>This</w:t>
      </w:r>
      <w:r w:rsidR="00826F75" w:rsidRPr="000F2880">
        <w:rPr>
          <w:lang w:val="en-AU"/>
        </w:rPr>
        <w:t xml:space="preserve"> has come about as a result of on-going relationships between researchers and companies. Another important source of personnel data has been historical records housed in company archives or public libraries. </w:t>
      </w:r>
      <w:r w:rsidR="001B7E68" w:rsidRPr="000F2880">
        <w:rPr>
          <w:lang w:val="en-AU"/>
        </w:rPr>
        <w:t xml:space="preserve">A third important source of data has been </w:t>
      </w:r>
      <w:r w:rsidR="005E6518">
        <w:rPr>
          <w:lang w:val="en-AU"/>
        </w:rPr>
        <w:t>M</w:t>
      </w:r>
      <w:r w:rsidR="00D6719F">
        <w:rPr>
          <w:lang w:val="en-AU"/>
        </w:rPr>
        <w:t xml:space="preserve">atched </w:t>
      </w:r>
      <w:r w:rsidR="005E6518">
        <w:rPr>
          <w:lang w:val="en-AU"/>
        </w:rPr>
        <w:t>E</w:t>
      </w:r>
      <w:r w:rsidR="00D6719F">
        <w:rPr>
          <w:lang w:val="en-AU"/>
        </w:rPr>
        <w:t>mployer-</w:t>
      </w:r>
      <w:r w:rsidR="005E6518">
        <w:rPr>
          <w:lang w:val="en-AU"/>
        </w:rPr>
        <w:t>E</w:t>
      </w:r>
      <w:r w:rsidR="00D6719F">
        <w:rPr>
          <w:lang w:val="en-AU"/>
        </w:rPr>
        <w:t xml:space="preserve">mployee </w:t>
      </w:r>
      <w:r w:rsidR="005E6518">
        <w:rPr>
          <w:lang w:val="en-AU"/>
        </w:rPr>
        <w:t xml:space="preserve">(MEE) </w:t>
      </w:r>
      <w:r w:rsidR="00D6719F">
        <w:rPr>
          <w:lang w:val="en-AU"/>
        </w:rPr>
        <w:t>data</w:t>
      </w:r>
      <w:r w:rsidR="00EC361E">
        <w:rPr>
          <w:lang w:val="en-AU"/>
        </w:rPr>
        <w:t xml:space="preserve"> constructed from administrative records.</w:t>
      </w:r>
      <w:r w:rsidR="001B7E68" w:rsidRPr="000F2880">
        <w:rPr>
          <w:lang w:val="en-AU"/>
        </w:rPr>
        <w:t xml:space="preserve"> </w:t>
      </w:r>
    </w:p>
    <w:p w:rsidR="00700947" w:rsidRPr="000F2880" w:rsidRDefault="00700947" w:rsidP="005A5089">
      <w:pPr>
        <w:spacing w:line="276" w:lineRule="auto"/>
        <w:rPr>
          <w:lang w:val="en-AU"/>
        </w:rPr>
      </w:pPr>
    </w:p>
    <w:p w:rsidR="00683EA3" w:rsidRDefault="00890DCE" w:rsidP="005A5089">
      <w:pPr>
        <w:spacing w:line="276" w:lineRule="auto"/>
        <w:rPr>
          <w:lang w:val="en-AU"/>
        </w:rPr>
      </w:pPr>
      <w:r w:rsidRPr="000F2880">
        <w:rPr>
          <w:lang w:val="en-AU"/>
        </w:rPr>
        <w:t xml:space="preserve">In this paper, </w:t>
      </w:r>
      <w:r w:rsidR="001B7E68" w:rsidRPr="000F2880">
        <w:rPr>
          <w:lang w:val="en-AU"/>
        </w:rPr>
        <w:t xml:space="preserve">we examine </w:t>
      </w:r>
      <w:r w:rsidR="0006441E">
        <w:rPr>
          <w:lang w:val="en-AU"/>
        </w:rPr>
        <w:t xml:space="preserve">the use of </w:t>
      </w:r>
      <w:r w:rsidR="001B7E68" w:rsidRPr="000F2880">
        <w:rPr>
          <w:lang w:val="en-AU"/>
        </w:rPr>
        <w:t>these three types of</w:t>
      </w:r>
      <w:r w:rsidR="00CF521B" w:rsidRPr="000F2880">
        <w:rPr>
          <w:lang w:val="en-AU"/>
        </w:rPr>
        <w:t xml:space="preserve"> data</w:t>
      </w:r>
      <w:r w:rsidR="0006441E">
        <w:rPr>
          <w:lang w:val="en-AU"/>
        </w:rPr>
        <w:t xml:space="preserve"> in personnel economics</w:t>
      </w:r>
      <w:r w:rsidR="001B7E68" w:rsidRPr="000F2880">
        <w:rPr>
          <w:lang w:val="en-AU"/>
        </w:rPr>
        <w:t xml:space="preserve">. </w:t>
      </w:r>
      <w:r w:rsidR="00EC361E">
        <w:rPr>
          <w:lang w:val="en-AU"/>
        </w:rPr>
        <w:t xml:space="preserve">This </w:t>
      </w:r>
      <w:r w:rsidR="00CF521B" w:rsidRPr="000F2880">
        <w:rPr>
          <w:lang w:val="en-AU"/>
        </w:rPr>
        <w:t>article is a data survey</w:t>
      </w:r>
      <w:r w:rsidR="00656DBF" w:rsidRPr="000F2880">
        <w:rPr>
          <w:lang w:val="en-AU"/>
        </w:rPr>
        <w:t xml:space="preserve"> rather than a literature </w:t>
      </w:r>
      <w:r w:rsidR="00D71A10" w:rsidRPr="000F2880">
        <w:rPr>
          <w:lang w:val="en-AU"/>
        </w:rPr>
        <w:t>review</w:t>
      </w:r>
      <w:r w:rsidR="00CF521B" w:rsidRPr="000F2880">
        <w:rPr>
          <w:lang w:val="en-AU"/>
        </w:rPr>
        <w:t>,</w:t>
      </w:r>
      <w:r w:rsidR="00EC361E">
        <w:rPr>
          <w:lang w:val="en-AU"/>
        </w:rPr>
        <w:t xml:space="preserve"> and</w:t>
      </w:r>
      <w:r w:rsidR="00CF521B" w:rsidRPr="000F2880">
        <w:rPr>
          <w:lang w:val="en-AU"/>
        </w:rPr>
        <w:t xml:space="preserve"> we only briefly consider how researchers have used </w:t>
      </w:r>
      <w:r w:rsidR="00656DBF" w:rsidRPr="000F2880">
        <w:rPr>
          <w:lang w:val="en-AU"/>
        </w:rPr>
        <w:t xml:space="preserve">the data </w:t>
      </w:r>
      <w:r w:rsidR="00CF521B" w:rsidRPr="000F2880">
        <w:rPr>
          <w:lang w:val="en-AU"/>
        </w:rPr>
        <w:t xml:space="preserve">to better understand labour contracts within firms. </w:t>
      </w:r>
      <w:r w:rsidR="00683EA3">
        <w:rPr>
          <w:lang w:val="en-AU"/>
        </w:rPr>
        <w:t xml:space="preserve">Even so, our </w:t>
      </w:r>
      <w:r w:rsidR="00683EA3" w:rsidRPr="000F2880">
        <w:rPr>
          <w:lang w:val="en-AU"/>
        </w:rPr>
        <w:t xml:space="preserve">coverage is incomplete. The number of </w:t>
      </w:r>
      <w:r w:rsidR="00683EA3">
        <w:rPr>
          <w:lang w:val="en-AU"/>
        </w:rPr>
        <w:t xml:space="preserve">empirical personnel economics </w:t>
      </w:r>
      <w:r w:rsidR="00683EA3" w:rsidRPr="000F2880">
        <w:rPr>
          <w:lang w:val="en-AU"/>
        </w:rPr>
        <w:t xml:space="preserve">studies using </w:t>
      </w:r>
      <w:r w:rsidR="00683EA3">
        <w:rPr>
          <w:lang w:val="en-AU"/>
        </w:rPr>
        <w:t xml:space="preserve">one of the three types of data </w:t>
      </w:r>
      <w:r w:rsidR="00683EA3" w:rsidRPr="000F2880">
        <w:rPr>
          <w:lang w:val="en-AU"/>
        </w:rPr>
        <w:t xml:space="preserve">is enormous, and </w:t>
      </w:r>
      <w:r w:rsidR="00B74C90">
        <w:rPr>
          <w:lang w:val="en-AU"/>
        </w:rPr>
        <w:t>we cannot</w:t>
      </w:r>
      <w:r w:rsidR="00683EA3" w:rsidRPr="000F2880">
        <w:rPr>
          <w:lang w:val="en-AU"/>
        </w:rPr>
        <w:t xml:space="preserve"> summarize every </w:t>
      </w:r>
      <w:r w:rsidR="00683EA3">
        <w:rPr>
          <w:lang w:val="en-AU"/>
        </w:rPr>
        <w:t>data set</w:t>
      </w:r>
      <w:r w:rsidR="00683EA3" w:rsidRPr="000F2880">
        <w:rPr>
          <w:lang w:val="en-AU"/>
        </w:rPr>
        <w:t xml:space="preserve"> used.</w:t>
      </w:r>
      <w:r w:rsidR="00683EA3">
        <w:rPr>
          <w:lang w:val="en-AU"/>
        </w:rPr>
        <w:t xml:space="preserve"> </w:t>
      </w:r>
      <w:r w:rsidR="00683EA3" w:rsidRPr="000F2880">
        <w:rPr>
          <w:lang w:val="en-AU"/>
        </w:rPr>
        <w:t xml:space="preserve">In addition, we do not consider two </w:t>
      </w:r>
      <w:r w:rsidR="00B74C90">
        <w:rPr>
          <w:lang w:val="en-AU"/>
        </w:rPr>
        <w:t>alternative</w:t>
      </w:r>
      <w:r w:rsidR="00683EA3" w:rsidRPr="000F2880">
        <w:rPr>
          <w:lang w:val="en-AU"/>
        </w:rPr>
        <w:t xml:space="preserve"> sources of data that have been utilized by personnel economists, namely broad-based surveys </w:t>
      </w:r>
      <w:r w:rsidR="00683EA3">
        <w:rPr>
          <w:lang w:val="en-AU"/>
        </w:rPr>
        <w:t xml:space="preserve">– </w:t>
      </w:r>
      <w:r w:rsidR="00683EA3" w:rsidRPr="000F2880">
        <w:rPr>
          <w:lang w:val="en-AU"/>
        </w:rPr>
        <w:t xml:space="preserve">such as the CPS and PSID in the United States, the LFS and BHPS in the United Kingdom and HILDA in Australia </w:t>
      </w:r>
      <w:r w:rsidR="00683EA3">
        <w:rPr>
          <w:lang w:val="en-AU"/>
        </w:rPr>
        <w:t xml:space="preserve">– </w:t>
      </w:r>
      <w:r w:rsidR="00683EA3" w:rsidRPr="000F2880">
        <w:rPr>
          <w:lang w:val="en-AU"/>
        </w:rPr>
        <w:t xml:space="preserve">and data generated by lab experiments. </w:t>
      </w:r>
      <w:r w:rsidR="00683EA3">
        <w:rPr>
          <w:lang w:val="en-AU"/>
        </w:rPr>
        <w:t>Personnel studies using these types of data have</w:t>
      </w:r>
      <w:r w:rsidR="00683EA3" w:rsidRPr="000F2880">
        <w:rPr>
          <w:lang w:val="en-AU"/>
        </w:rPr>
        <w:t xml:space="preserve"> been thoroughly summarized elsewhere</w:t>
      </w:r>
      <w:r w:rsidR="00D94C48">
        <w:rPr>
          <w:lang w:val="en-AU"/>
        </w:rPr>
        <w:t>. See</w:t>
      </w:r>
      <w:r w:rsidR="00683EA3" w:rsidRPr="000F2880">
        <w:rPr>
          <w:lang w:val="en-AU"/>
        </w:rPr>
        <w:t xml:space="preserve"> </w:t>
      </w:r>
      <w:proofErr w:type="spellStart"/>
      <w:r w:rsidR="00683EA3" w:rsidRPr="000F2880">
        <w:rPr>
          <w:lang w:val="en-AU"/>
        </w:rPr>
        <w:t>Charness</w:t>
      </w:r>
      <w:proofErr w:type="spellEnd"/>
      <w:r w:rsidR="00683EA3" w:rsidRPr="000F2880">
        <w:rPr>
          <w:lang w:val="en-AU"/>
        </w:rPr>
        <w:t xml:space="preserve"> and Kuhn </w:t>
      </w:r>
      <w:r w:rsidR="00D94C48">
        <w:rPr>
          <w:lang w:val="en-AU"/>
        </w:rPr>
        <w:t>(</w:t>
      </w:r>
      <w:r w:rsidR="00683EA3" w:rsidRPr="000F2880">
        <w:rPr>
          <w:lang w:val="en-AU"/>
        </w:rPr>
        <w:t>2010</w:t>
      </w:r>
      <w:r w:rsidR="00D94C48">
        <w:rPr>
          <w:lang w:val="en-AU"/>
        </w:rPr>
        <w:t>)</w:t>
      </w:r>
      <w:r w:rsidR="00683EA3">
        <w:rPr>
          <w:lang w:val="en-AU"/>
        </w:rPr>
        <w:t xml:space="preserve"> and Waldman </w:t>
      </w:r>
      <w:r w:rsidR="00D94C48">
        <w:rPr>
          <w:lang w:val="en-AU"/>
        </w:rPr>
        <w:t>(</w:t>
      </w:r>
      <w:r w:rsidR="00683EA3">
        <w:rPr>
          <w:lang w:val="en-AU"/>
        </w:rPr>
        <w:t>2012</w:t>
      </w:r>
      <w:r w:rsidR="00683EA3" w:rsidRPr="000F2880">
        <w:rPr>
          <w:lang w:val="en-AU"/>
        </w:rPr>
        <w:t>).</w:t>
      </w:r>
    </w:p>
    <w:p w:rsidR="00683EA3" w:rsidRDefault="00683EA3" w:rsidP="005A5089">
      <w:pPr>
        <w:spacing w:line="276" w:lineRule="auto"/>
        <w:rPr>
          <w:lang w:val="en-AU"/>
        </w:rPr>
      </w:pPr>
    </w:p>
    <w:p w:rsidR="0078749A" w:rsidRDefault="00683EA3" w:rsidP="005A5089">
      <w:pPr>
        <w:spacing w:line="276" w:lineRule="auto"/>
        <w:rPr>
          <w:lang w:val="en-AU"/>
        </w:rPr>
      </w:pPr>
      <w:r>
        <w:rPr>
          <w:lang w:val="en-AU"/>
        </w:rPr>
        <w:t>The structure of the paper is as follows: S</w:t>
      </w:r>
      <w:r w:rsidRPr="000F2880">
        <w:rPr>
          <w:lang w:val="en-AU"/>
        </w:rPr>
        <w:t>ection</w:t>
      </w:r>
      <w:r>
        <w:rPr>
          <w:lang w:val="en-AU"/>
        </w:rPr>
        <w:t xml:space="preserve"> </w:t>
      </w:r>
      <w:r w:rsidR="00F95AB2">
        <w:rPr>
          <w:lang w:val="en-AU"/>
        </w:rPr>
        <w:t>2</w:t>
      </w:r>
      <w:r w:rsidR="00CF521B" w:rsidRPr="000F2880">
        <w:rPr>
          <w:lang w:val="en-AU"/>
        </w:rPr>
        <w:t xml:space="preserve"> </w:t>
      </w:r>
      <w:r w:rsidR="00E45BFE">
        <w:rPr>
          <w:lang w:val="en-AU"/>
        </w:rPr>
        <w:t xml:space="preserve">provides an overview of the information typically contained in personnel data sets and the underlying methodology of most personnel studies. </w:t>
      </w:r>
      <w:r w:rsidR="006F708F">
        <w:rPr>
          <w:lang w:val="en-AU"/>
        </w:rPr>
        <w:t>S</w:t>
      </w:r>
      <w:r w:rsidR="00E45BFE">
        <w:rPr>
          <w:lang w:val="en-AU"/>
        </w:rPr>
        <w:t>ection</w:t>
      </w:r>
      <w:r w:rsidR="006F708F">
        <w:rPr>
          <w:lang w:val="en-AU"/>
        </w:rPr>
        <w:t xml:space="preserve"> </w:t>
      </w:r>
      <w:r w:rsidR="00F95AB2">
        <w:rPr>
          <w:lang w:val="en-AU"/>
        </w:rPr>
        <w:t>3</w:t>
      </w:r>
      <w:r w:rsidR="00E45BFE">
        <w:rPr>
          <w:lang w:val="en-AU"/>
        </w:rPr>
        <w:t xml:space="preserve"> </w:t>
      </w:r>
      <w:r w:rsidR="00CF521B" w:rsidRPr="000F2880">
        <w:rPr>
          <w:lang w:val="en-AU"/>
        </w:rPr>
        <w:t xml:space="preserve">examines historical firm-level records. </w:t>
      </w:r>
      <w:r w:rsidR="006F708F">
        <w:rPr>
          <w:lang w:val="en-AU"/>
        </w:rPr>
        <w:t xml:space="preserve">Section </w:t>
      </w:r>
      <w:r w:rsidR="00F95AB2">
        <w:rPr>
          <w:lang w:val="en-AU"/>
        </w:rPr>
        <w:t>4</w:t>
      </w:r>
      <w:r w:rsidR="000D6977">
        <w:rPr>
          <w:lang w:val="en-AU"/>
        </w:rPr>
        <w:t xml:space="preserve"> </w:t>
      </w:r>
      <w:r w:rsidR="00CF521B" w:rsidRPr="000F2880">
        <w:rPr>
          <w:lang w:val="en-AU"/>
        </w:rPr>
        <w:t xml:space="preserve">examines contemporary firm-level data. </w:t>
      </w:r>
      <w:r w:rsidR="000D6977">
        <w:rPr>
          <w:lang w:val="en-AU"/>
        </w:rPr>
        <w:t xml:space="preserve">Section </w:t>
      </w:r>
      <w:r w:rsidR="00F95AB2">
        <w:rPr>
          <w:lang w:val="en-AU"/>
        </w:rPr>
        <w:t>5</w:t>
      </w:r>
      <w:r w:rsidR="00F620AF" w:rsidRPr="000F2880">
        <w:rPr>
          <w:lang w:val="en-AU"/>
        </w:rPr>
        <w:t xml:space="preserve"> examines </w:t>
      </w:r>
      <w:r w:rsidR="00040412" w:rsidRPr="000F2880">
        <w:rPr>
          <w:lang w:val="en-AU"/>
        </w:rPr>
        <w:t xml:space="preserve">national </w:t>
      </w:r>
      <w:r w:rsidR="00DB33D6">
        <w:rPr>
          <w:lang w:val="en-AU"/>
        </w:rPr>
        <w:t xml:space="preserve">administrative </w:t>
      </w:r>
      <w:r w:rsidR="00040412" w:rsidRPr="000F2880">
        <w:rPr>
          <w:lang w:val="en-AU"/>
        </w:rPr>
        <w:t>records</w:t>
      </w:r>
      <w:r w:rsidR="00F620AF" w:rsidRPr="000F2880">
        <w:rPr>
          <w:lang w:val="en-AU"/>
        </w:rPr>
        <w:t xml:space="preserve">. </w:t>
      </w:r>
      <w:r w:rsidR="0078749A">
        <w:rPr>
          <w:lang w:val="en-AU"/>
        </w:rPr>
        <w:t>S</w:t>
      </w:r>
      <w:r w:rsidR="0078749A" w:rsidRPr="000F2880">
        <w:rPr>
          <w:lang w:val="en-AU"/>
        </w:rPr>
        <w:t>ection</w:t>
      </w:r>
      <w:r w:rsidR="0078749A">
        <w:rPr>
          <w:lang w:val="en-AU"/>
        </w:rPr>
        <w:t xml:space="preserve"> </w:t>
      </w:r>
      <w:r w:rsidR="00F95AB2">
        <w:rPr>
          <w:lang w:val="en-AU"/>
        </w:rPr>
        <w:t>6</w:t>
      </w:r>
      <w:r w:rsidR="0078749A" w:rsidRPr="000F2880">
        <w:rPr>
          <w:lang w:val="en-AU"/>
        </w:rPr>
        <w:t xml:space="preserve"> </w:t>
      </w:r>
      <w:r w:rsidR="00F620AF" w:rsidRPr="000F2880">
        <w:rPr>
          <w:lang w:val="en-AU"/>
        </w:rPr>
        <w:t xml:space="preserve">concludes. </w:t>
      </w:r>
    </w:p>
    <w:p w:rsidR="008119B0" w:rsidRPr="000F2880" w:rsidRDefault="008119B0" w:rsidP="005A5089">
      <w:pPr>
        <w:spacing w:line="276" w:lineRule="auto"/>
        <w:rPr>
          <w:lang w:val="en-AU"/>
        </w:rPr>
      </w:pPr>
    </w:p>
    <w:p w:rsidR="001553F2" w:rsidRDefault="001553F2" w:rsidP="005A5089">
      <w:pPr>
        <w:spacing w:line="276" w:lineRule="auto"/>
        <w:rPr>
          <w:lang w:val="en-AU"/>
        </w:rPr>
      </w:pPr>
    </w:p>
    <w:p w:rsidR="00145319" w:rsidRPr="00EE1323" w:rsidRDefault="00EE1323" w:rsidP="005A5089">
      <w:pPr>
        <w:spacing w:line="276" w:lineRule="auto"/>
        <w:rPr>
          <w:b/>
          <w:lang w:val="en-AU"/>
        </w:rPr>
      </w:pPr>
      <w:r>
        <w:rPr>
          <w:b/>
          <w:lang w:val="en-AU"/>
        </w:rPr>
        <w:t>2.</w:t>
      </w:r>
      <w:r w:rsidR="00C8448E" w:rsidRPr="00C8448E">
        <w:rPr>
          <w:b/>
          <w:lang w:val="en-AU"/>
        </w:rPr>
        <w:t xml:space="preserve"> Overview</w:t>
      </w:r>
    </w:p>
    <w:p w:rsidR="009666F4" w:rsidRDefault="009666F4" w:rsidP="005A5089">
      <w:pPr>
        <w:spacing w:line="276" w:lineRule="auto"/>
        <w:rPr>
          <w:lang w:val="en-AU"/>
        </w:rPr>
      </w:pPr>
    </w:p>
    <w:p w:rsidR="00D94C48" w:rsidRDefault="009666F4" w:rsidP="009666F4">
      <w:pPr>
        <w:spacing w:line="276" w:lineRule="auto"/>
        <w:rPr>
          <w:lang w:val="en-GB"/>
        </w:rPr>
      </w:pPr>
      <w:r>
        <w:rPr>
          <w:lang w:val="en-AU"/>
        </w:rPr>
        <w:t>The record groups that we consider contain information on workers’ backgrounds and career outcomes. Typically the former includes some or all of the following: age, education, gender, race, marital status, prior experience and date of initial hiring at the current employ</w:t>
      </w:r>
      <w:r w:rsidR="00E45BFE">
        <w:rPr>
          <w:lang w:val="en-AU"/>
        </w:rPr>
        <w:t>er</w:t>
      </w:r>
      <w:r>
        <w:rPr>
          <w:lang w:val="en-AU"/>
        </w:rPr>
        <w:t>. The latter typically includes information such as: wages, position at the firm, productivity or performance evaluation and date of and reason for exit (if applicable). Many of the historical record groups only contain a relatively small sub-set of this information. Contemporary records, particularly t</w:t>
      </w:r>
      <w:r w:rsidR="00E45BFE">
        <w:rPr>
          <w:lang w:val="en-AU"/>
        </w:rPr>
        <w:t>he large MEE data described in S</w:t>
      </w:r>
      <w:r>
        <w:rPr>
          <w:lang w:val="en-AU"/>
        </w:rPr>
        <w:t xml:space="preserve">ection </w:t>
      </w:r>
      <w:r w:rsidR="00F95AB2">
        <w:rPr>
          <w:lang w:val="en-AU"/>
        </w:rPr>
        <w:t>5</w:t>
      </w:r>
      <w:r>
        <w:rPr>
          <w:lang w:val="en-AU"/>
        </w:rPr>
        <w:t xml:space="preserve"> often </w:t>
      </w:r>
      <w:r w:rsidR="00E45BFE">
        <w:rPr>
          <w:lang w:val="en-AU"/>
        </w:rPr>
        <w:t>also contain</w:t>
      </w:r>
      <w:r>
        <w:rPr>
          <w:lang w:val="en-AU"/>
        </w:rPr>
        <w:t xml:space="preserve"> firm-level information. </w:t>
      </w:r>
      <w:r w:rsidR="00B02640">
        <w:rPr>
          <w:lang w:val="en-GB"/>
        </w:rPr>
        <w:t xml:space="preserve">The frequency of observation is most often annual, but there are examples where </w:t>
      </w:r>
      <w:r w:rsidR="00B02640">
        <w:rPr>
          <w:lang w:val="en-GB"/>
        </w:rPr>
        <w:lastRenderedPageBreak/>
        <w:t>data is recorded on a daily or weekly basis</w:t>
      </w:r>
      <w:r w:rsidR="00D94C48">
        <w:rPr>
          <w:lang w:val="en-GB"/>
        </w:rPr>
        <w:t>.</w:t>
      </w:r>
      <w:r w:rsidR="00B02640">
        <w:rPr>
          <w:lang w:val="en-GB"/>
        </w:rPr>
        <w:t xml:space="preserve"> </w:t>
      </w:r>
      <w:proofErr w:type="gramStart"/>
      <w:r w:rsidR="00D94C48">
        <w:rPr>
          <w:lang w:val="en-GB"/>
        </w:rPr>
        <w:t>S</w:t>
      </w:r>
      <w:r w:rsidR="00B02640">
        <w:rPr>
          <w:lang w:val="en-GB"/>
        </w:rPr>
        <w:t>ee  Bagger</w:t>
      </w:r>
      <w:proofErr w:type="gramEnd"/>
      <w:r w:rsidR="00B02640">
        <w:rPr>
          <w:lang w:val="en-GB"/>
        </w:rPr>
        <w:t xml:space="preserve"> et al. (2014); </w:t>
      </w:r>
      <w:proofErr w:type="spellStart"/>
      <w:r w:rsidR="00B02640">
        <w:rPr>
          <w:lang w:val="en-GB"/>
        </w:rPr>
        <w:t>Bandiera</w:t>
      </w:r>
      <w:proofErr w:type="spellEnd"/>
      <w:r w:rsidR="00B02640">
        <w:rPr>
          <w:lang w:val="en-GB"/>
        </w:rPr>
        <w:t xml:space="preserve">, </w:t>
      </w:r>
      <w:proofErr w:type="spellStart"/>
      <w:r w:rsidR="00B02640">
        <w:rPr>
          <w:lang w:val="en-GB"/>
        </w:rPr>
        <w:t>Barankay</w:t>
      </w:r>
      <w:proofErr w:type="spellEnd"/>
      <w:r w:rsidR="00B02640">
        <w:rPr>
          <w:lang w:val="en-GB"/>
        </w:rPr>
        <w:t xml:space="preserve"> and </w:t>
      </w:r>
      <w:proofErr w:type="spellStart"/>
      <w:r w:rsidR="00B02640">
        <w:rPr>
          <w:lang w:val="en-GB"/>
        </w:rPr>
        <w:t>Rasul</w:t>
      </w:r>
      <w:proofErr w:type="spellEnd"/>
      <w:r w:rsidR="00B02640">
        <w:rPr>
          <w:lang w:val="en-GB"/>
        </w:rPr>
        <w:t xml:space="preserve"> (2005, 2009, 2010) and </w:t>
      </w:r>
      <w:proofErr w:type="spellStart"/>
      <w:r w:rsidR="00B02640">
        <w:rPr>
          <w:lang w:val="en-GB"/>
        </w:rPr>
        <w:t>Lazear</w:t>
      </w:r>
      <w:proofErr w:type="spellEnd"/>
      <w:r w:rsidR="00B02640">
        <w:rPr>
          <w:lang w:val="en-GB"/>
        </w:rPr>
        <w:t xml:space="preserve"> (2000).</w:t>
      </w:r>
    </w:p>
    <w:p w:rsidR="009666F4" w:rsidRDefault="00B02640" w:rsidP="009666F4">
      <w:pPr>
        <w:spacing w:line="276" w:lineRule="auto"/>
        <w:rPr>
          <w:lang w:val="en-AU"/>
        </w:rPr>
      </w:pPr>
      <w:r>
        <w:rPr>
          <w:lang w:val="en-GB"/>
        </w:rPr>
        <w:t xml:space="preserve"> </w:t>
      </w:r>
    </w:p>
    <w:p w:rsidR="00CA1FEA" w:rsidRDefault="00CA1FEA" w:rsidP="00CA1FEA">
      <w:pPr>
        <w:spacing w:line="276" w:lineRule="auto"/>
        <w:rPr>
          <w:lang w:val="en-AU"/>
        </w:rPr>
      </w:pPr>
      <w:r>
        <w:rPr>
          <w:lang w:val="en-AU"/>
        </w:rPr>
        <w:t>Although the studies we survey in this paper examine a range of outcomes, the single most widely used outcome variable in personnel economics is wages. The underlying approach to estimating wages is the Mincer wage regression, first described in Mincer (19</w:t>
      </w:r>
      <w:r w:rsidR="00DC6E42">
        <w:rPr>
          <w:lang w:val="en-AU"/>
        </w:rPr>
        <w:t>58</w:t>
      </w:r>
      <w:r>
        <w:rPr>
          <w:lang w:val="en-AU"/>
        </w:rPr>
        <w:t xml:space="preserve">). A general specification of the Mincer Wage regression </w:t>
      </w:r>
      <w:r w:rsidR="00D94C48">
        <w:rPr>
          <w:lang w:val="en-AU"/>
        </w:rPr>
        <w:t>following</w:t>
      </w:r>
      <w:r w:rsidRPr="0035081B">
        <w:rPr>
          <w:lang w:val="en-AU"/>
        </w:rPr>
        <w:t xml:space="preserve"> </w:t>
      </w:r>
      <w:proofErr w:type="spellStart"/>
      <w:r>
        <w:rPr>
          <w:lang w:val="en-AU"/>
        </w:rPr>
        <w:t>Abowd</w:t>
      </w:r>
      <w:proofErr w:type="spellEnd"/>
      <w:r>
        <w:rPr>
          <w:lang w:val="en-AU"/>
        </w:rPr>
        <w:t xml:space="preserve">, </w:t>
      </w:r>
      <w:proofErr w:type="spellStart"/>
      <w:r>
        <w:rPr>
          <w:lang w:val="en-AU"/>
        </w:rPr>
        <w:t>Kramarz</w:t>
      </w:r>
      <w:proofErr w:type="spellEnd"/>
      <w:r>
        <w:rPr>
          <w:lang w:val="en-AU"/>
        </w:rPr>
        <w:t xml:space="preserve"> and Margolis </w:t>
      </w:r>
      <w:r w:rsidR="00D94C48">
        <w:rPr>
          <w:lang w:val="en-AU"/>
        </w:rPr>
        <w:t>(</w:t>
      </w:r>
      <w:r>
        <w:rPr>
          <w:lang w:val="en-AU"/>
        </w:rPr>
        <w:t xml:space="preserve">1999) can be written as: </w:t>
      </w:r>
    </w:p>
    <w:p w:rsidR="00CA1FEA" w:rsidRDefault="00CA1FEA" w:rsidP="00CA1FEA">
      <w:pPr>
        <w:spacing w:line="276" w:lineRule="auto"/>
        <w:rPr>
          <w:lang w:val="en-AU"/>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5545"/>
        <w:gridCol w:w="1848"/>
      </w:tblGrid>
      <w:tr w:rsidR="00CA1FEA" w:rsidTr="00AA6351">
        <w:trPr>
          <w:jc w:val="center"/>
        </w:trPr>
        <w:tc>
          <w:tcPr>
            <w:tcW w:w="1000" w:type="pct"/>
          </w:tcPr>
          <w:p w:rsidR="00CA1FEA" w:rsidRDefault="00CA1FEA" w:rsidP="00AA6351">
            <w:pPr>
              <w:spacing w:line="276" w:lineRule="auto"/>
              <w:rPr>
                <w:lang w:val="en-AU"/>
              </w:rPr>
            </w:pPr>
          </w:p>
        </w:tc>
        <w:tc>
          <w:tcPr>
            <w:tcW w:w="3000" w:type="pct"/>
            <w:vAlign w:val="center"/>
          </w:tcPr>
          <w:p w:rsidR="00CA1FEA" w:rsidRDefault="00714C0B" w:rsidP="00AA6351">
            <w:pPr>
              <w:spacing w:line="276" w:lineRule="auto"/>
              <w:rPr>
                <w:lang w:val="en-AU"/>
              </w:rPr>
            </w:pPr>
            <m:oMathPara>
              <m:oMath>
                <m:func>
                  <m:funcPr>
                    <m:ctrlPr>
                      <w:rPr>
                        <w:rFonts w:ascii="Cambria Math" w:hAnsi="Cambria Math"/>
                        <w:i/>
                        <w:sz w:val="24"/>
                        <w:lang w:val="en-AU"/>
                      </w:rPr>
                    </m:ctrlPr>
                  </m:funcPr>
                  <m:fName>
                    <m:r>
                      <m:rPr>
                        <m:sty m:val="p"/>
                      </m:rPr>
                      <w:rPr>
                        <w:rFonts w:ascii="Cambria Math" w:hAnsi="Cambria Math"/>
                        <w:sz w:val="24"/>
                        <w:lang w:val="en-AU"/>
                      </w:rPr>
                      <m:t>ln</m:t>
                    </m:r>
                  </m:fName>
                  <m:e>
                    <m:sSub>
                      <m:sSubPr>
                        <m:ctrlPr>
                          <w:rPr>
                            <w:rFonts w:ascii="Cambria Math" w:hAnsi="Cambria Math"/>
                            <w:i/>
                            <w:sz w:val="24"/>
                            <w:lang w:val="en-AU"/>
                          </w:rPr>
                        </m:ctrlPr>
                      </m:sSubPr>
                      <m:e>
                        <m:r>
                          <w:rPr>
                            <w:rFonts w:ascii="Cambria Math" w:hAnsi="Cambria Math"/>
                            <w:lang w:val="en-AU"/>
                          </w:rPr>
                          <m:t>w</m:t>
                        </m:r>
                      </m:e>
                      <m:sub>
                        <m:r>
                          <w:rPr>
                            <w:rFonts w:ascii="Cambria Math" w:hAnsi="Cambria Math"/>
                            <w:lang w:val="en-AU"/>
                          </w:rPr>
                          <m:t>it</m:t>
                        </m:r>
                      </m:sub>
                    </m:sSub>
                  </m:e>
                </m:func>
                <m:r>
                  <w:rPr>
                    <w:rFonts w:ascii="Cambria Math" w:hAnsi="Cambria Math"/>
                    <w:lang w:val="en-AU"/>
                  </w:rPr>
                  <m:t>=</m:t>
                </m:r>
                <m:sSub>
                  <m:sSubPr>
                    <m:ctrlPr>
                      <w:rPr>
                        <w:rFonts w:ascii="Cambria Math" w:hAnsi="Cambria Math"/>
                        <w:i/>
                        <w:sz w:val="24"/>
                        <w:lang w:val="en-AU"/>
                      </w:rPr>
                    </m:ctrlPr>
                  </m:sSubPr>
                  <m:e>
                    <m:r>
                      <m:rPr>
                        <m:sty m:val="bi"/>
                      </m:rPr>
                      <w:rPr>
                        <w:rFonts w:ascii="Cambria Math" w:hAnsi="Cambria Math"/>
                        <w:lang w:val="en-AU"/>
                      </w:rPr>
                      <m:t>x</m:t>
                    </m:r>
                  </m:e>
                  <m:sub>
                    <m:r>
                      <w:rPr>
                        <w:rFonts w:ascii="Cambria Math" w:hAnsi="Cambria Math"/>
                        <w:lang w:val="en-AU"/>
                      </w:rPr>
                      <m:t>it</m:t>
                    </m:r>
                  </m:sub>
                </m:sSub>
                <m:r>
                  <m:rPr>
                    <m:sty m:val="bi"/>
                  </m:rPr>
                  <w:rPr>
                    <w:rFonts w:ascii="Cambria Math" w:hAnsi="Cambria Math"/>
                    <w:lang w:val="en-AU"/>
                  </w:rPr>
                  <m:t>β</m:t>
                </m:r>
                <m:r>
                  <w:rPr>
                    <w:rFonts w:ascii="Cambria Math" w:hAnsi="Cambria Math"/>
                    <w:lang w:val="en-AU"/>
                  </w:rPr>
                  <m:t>+</m:t>
                </m:r>
                <m:sSub>
                  <m:sSubPr>
                    <m:ctrlPr>
                      <w:rPr>
                        <w:rFonts w:ascii="Cambria Math" w:hAnsi="Cambria Math"/>
                        <w:i/>
                        <w:sz w:val="24"/>
                        <w:lang w:val="en-AU"/>
                      </w:rPr>
                    </m:ctrlPr>
                  </m:sSubPr>
                  <m:e>
                    <m:r>
                      <m:rPr>
                        <m:sty m:val="bi"/>
                      </m:rPr>
                      <w:rPr>
                        <w:rFonts w:ascii="Cambria Math" w:hAnsi="Cambria Math"/>
                        <w:lang w:val="en-AU"/>
                      </w:rPr>
                      <m:t>z</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r>
                      <w:rPr>
                        <w:rFonts w:ascii="Cambria Math" w:hAnsi="Cambria Math"/>
                        <w:lang w:val="en-AU"/>
                      </w:rPr>
                      <m:t>t</m:t>
                    </m:r>
                  </m:sub>
                </m:sSub>
                <m:r>
                  <m:rPr>
                    <m:sty m:val="bi"/>
                  </m:rPr>
                  <w:rPr>
                    <w:rFonts w:ascii="Cambria Math" w:hAnsi="Cambria Math"/>
                    <w:lang w:val="en-AU"/>
                  </w:rPr>
                  <m:t>γ</m:t>
                </m:r>
                <m:r>
                  <w:rPr>
                    <w:rFonts w:ascii="Cambria Math" w:hAnsi="Cambria Math"/>
                    <w:lang w:val="en-AU"/>
                  </w:rPr>
                  <m:t>+</m:t>
                </m:r>
                <m:sSub>
                  <m:sSubPr>
                    <m:ctrlPr>
                      <w:rPr>
                        <w:rFonts w:ascii="Cambria Math" w:hAnsi="Cambria Math"/>
                        <w:i/>
                        <w:sz w:val="24"/>
                        <w:lang w:val="en-AU"/>
                      </w:rPr>
                    </m:ctrlPr>
                  </m:sSubPr>
                  <m:e>
                    <m:r>
                      <w:rPr>
                        <w:rFonts w:ascii="Cambria Math" w:hAnsi="Cambria Math"/>
                        <w:lang w:val="en-AU"/>
                      </w:rPr>
                      <m:t>θ</m:t>
                    </m:r>
                  </m:e>
                  <m:sub>
                    <m:r>
                      <w:rPr>
                        <w:rFonts w:ascii="Cambria Math" w:hAnsi="Cambria Math"/>
                        <w:lang w:val="en-AU"/>
                      </w:rPr>
                      <m:t>i</m:t>
                    </m:r>
                  </m:sub>
                </m:sSub>
                <m:r>
                  <w:rPr>
                    <w:rFonts w:ascii="Cambria Math" w:hAnsi="Cambria Math"/>
                    <w:lang w:val="en-AU"/>
                  </w:rPr>
                  <m:t>+</m:t>
                </m:r>
                <m:sSub>
                  <m:sSubPr>
                    <m:ctrlPr>
                      <w:rPr>
                        <w:rFonts w:ascii="Cambria Math" w:hAnsi="Cambria Math"/>
                        <w:i/>
                        <w:sz w:val="24"/>
                        <w:lang w:val="en-AU"/>
                      </w:rPr>
                    </m:ctrlPr>
                  </m:sSubPr>
                  <m:e>
                    <m:r>
                      <w:rPr>
                        <w:rFonts w:ascii="Cambria Math" w:hAnsi="Cambria Math"/>
                        <w:lang w:val="en-AU"/>
                      </w:rPr>
                      <m:t>ϕ</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sub>
                </m:sSub>
                <m:r>
                  <w:rPr>
                    <w:rFonts w:ascii="Cambria Math" w:hAnsi="Cambria Math"/>
                    <w:lang w:val="en-AU"/>
                  </w:rPr>
                  <m:t>+</m:t>
                </m:r>
                <m:sSub>
                  <m:sSubPr>
                    <m:ctrlPr>
                      <w:rPr>
                        <w:rFonts w:ascii="Cambria Math" w:hAnsi="Cambria Math"/>
                        <w:i/>
                        <w:sz w:val="24"/>
                        <w:lang w:val="en-AU"/>
                      </w:rPr>
                    </m:ctrlPr>
                  </m:sSubPr>
                  <m:e>
                    <m:r>
                      <w:rPr>
                        <w:rFonts w:ascii="Cambria Math" w:hAnsi="Cambria Math"/>
                        <w:lang w:val="en-AU"/>
                      </w:rPr>
                      <m:t>ε</m:t>
                    </m:r>
                  </m:e>
                  <m:sub>
                    <m:r>
                      <w:rPr>
                        <w:rFonts w:ascii="Cambria Math" w:hAnsi="Cambria Math"/>
                        <w:lang w:val="en-AU"/>
                      </w:rPr>
                      <m:t>it</m:t>
                    </m:r>
                  </m:sub>
                </m:sSub>
                <m:r>
                  <m:rPr>
                    <m:sty m:val="bi"/>
                  </m:rPr>
                  <w:rPr>
                    <w:rFonts w:ascii="Cambria Math" w:hAnsi="Cambria Math"/>
                    <w:lang w:val="en-AU"/>
                  </w:rPr>
                  <m:t>,</m:t>
                </m:r>
              </m:oMath>
            </m:oMathPara>
          </w:p>
        </w:tc>
        <w:tc>
          <w:tcPr>
            <w:tcW w:w="1000" w:type="pct"/>
            <w:vAlign w:val="center"/>
          </w:tcPr>
          <w:p w:rsidR="00CA1FEA" w:rsidRDefault="00CA1FEA" w:rsidP="00AA6351">
            <w:pPr>
              <w:spacing w:line="276" w:lineRule="auto"/>
              <w:jc w:val="right"/>
              <w:rPr>
                <w:lang w:val="en-AU"/>
              </w:rPr>
            </w:pPr>
            <w:r>
              <w:rPr>
                <w:lang w:val="en-AU"/>
              </w:rPr>
              <w:t>(1)</w:t>
            </w:r>
          </w:p>
        </w:tc>
      </w:tr>
    </w:tbl>
    <w:p w:rsidR="00CA1FEA" w:rsidRDefault="00CA1FEA" w:rsidP="00CA1FEA">
      <w:pPr>
        <w:spacing w:line="276" w:lineRule="auto"/>
        <w:rPr>
          <w:lang w:val="en-AU"/>
        </w:rPr>
      </w:pPr>
    </w:p>
    <w:p w:rsidR="00CA1FEA" w:rsidRDefault="00CA1FEA" w:rsidP="00CA1FEA">
      <w:pPr>
        <w:spacing w:line="276" w:lineRule="auto"/>
        <w:rPr>
          <w:lang w:val="en-AU"/>
        </w:rPr>
      </w:pPr>
      <w:proofErr w:type="gramStart"/>
      <w:r>
        <w:rPr>
          <w:lang w:val="en-AU"/>
        </w:rPr>
        <w:t>where</w:t>
      </w:r>
      <w:proofErr w:type="gramEnd"/>
    </w:p>
    <w:p w:rsidR="00CA1FEA" w:rsidRDefault="00CA1FEA" w:rsidP="00CA1FEA">
      <w:pPr>
        <w:pStyle w:val="ListParagraph"/>
        <w:numPr>
          <w:ilvl w:val="0"/>
          <w:numId w:val="3"/>
        </w:numPr>
        <w:spacing w:line="276" w:lineRule="auto"/>
        <w:ind w:firstLine="720"/>
        <w:rPr>
          <w:lang w:val="en-AU"/>
        </w:rPr>
      </w:pPr>
      <m:oMath>
        <m:r>
          <w:rPr>
            <w:rFonts w:ascii="Cambria Math" w:hAnsi="Cambria Math"/>
            <w:lang w:val="en-AU"/>
          </w:rPr>
          <m:t>i</m:t>
        </m:r>
      </m:oMath>
      <w:r w:rsidRPr="00100A52">
        <w:rPr>
          <w:lang w:val="en-AU"/>
        </w:rPr>
        <w:t xml:space="preserve"> index</w:t>
      </w:r>
      <w:proofErr w:type="spellStart"/>
      <w:r w:rsidR="00C620BC">
        <w:rPr>
          <w:lang w:val="en-AU"/>
        </w:rPr>
        <w:t>es</w:t>
      </w:r>
      <w:proofErr w:type="spellEnd"/>
      <w:r w:rsidRPr="00100A52">
        <w:rPr>
          <w:lang w:val="en-AU"/>
        </w:rPr>
        <w:t xml:space="preserve"> employees, </w:t>
      </w:r>
    </w:p>
    <w:p w:rsidR="00CA1FEA" w:rsidRDefault="00CA1FEA" w:rsidP="00CA1FEA">
      <w:pPr>
        <w:pStyle w:val="ListParagraph"/>
        <w:numPr>
          <w:ilvl w:val="0"/>
          <w:numId w:val="3"/>
        </w:numPr>
        <w:spacing w:line="276" w:lineRule="auto"/>
        <w:ind w:firstLine="720"/>
        <w:rPr>
          <w:lang w:val="en-AU"/>
        </w:rPr>
      </w:pPr>
      <m:oMath>
        <m:r>
          <w:rPr>
            <w:rFonts w:ascii="Cambria Math" w:hAnsi="Cambria Math"/>
            <w:lang w:val="en-AU"/>
          </w:rPr>
          <m:t>t</m:t>
        </m:r>
      </m:oMath>
      <w:r w:rsidRPr="00100A52">
        <w:rPr>
          <w:lang w:val="en-AU"/>
        </w:rPr>
        <w:t xml:space="preserve"> index</w:t>
      </w:r>
      <w:proofErr w:type="spellStart"/>
      <w:r w:rsidR="00C620BC">
        <w:rPr>
          <w:lang w:val="en-AU"/>
        </w:rPr>
        <w:t>es</w:t>
      </w:r>
      <w:proofErr w:type="spellEnd"/>
      <w:r w:rsidRPr="00100A52">
        <w:rPr>
          <w:lang w:val="en-AU"/>
        </w:rPr>
        <w:t xml:space="preserve"> time periods, </w:t>
      </w:r>
    </w:p>
    <w:p w:rsidR="00CA1FEA" w:rsidRDefault="00CA1FEA" w:rsidP="00CA1FEA">
      <w:pPr>
        <w:pStyle w:val="ListParagraph"/>
        <w:numPr>
          <w:ilvl w:val="0"/>
          <w:numId w:val="3"/>
        </w:numPr>
        <w:spacing w:line="276" w:lineRule="auto"/>
        <w:ind w:firstLine="720"/>
        <w:rPr>
          <w:lang w:val="en-AU"/>
        </w:rPr>
      </w:pPr>
      <m:oMath>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oMath>
      <w:r w:rsidRPr="00100A52">
        <w:rPr>
          <w:lang w:val="en-AU"/>
        </w:rPr>
        <w:t xml:space="preserve"> </w:t>
      </w:r>
      <w:r w:rsidR="00C620BC">
        <w:rPr>
          <w:lang w:val="en-AU"/>
        </w:rPr>
        <w:t>identifies</w:t>
      </w:r>
      <w:r w:rsidRPr="00100A52">
        <w:rPr>
          <w:lang w:val="en-AU"/>
        </w:rPr>
        <w:t xml:space="preserve"> the employer of individual </w:t>
      </w:r>
      <m:oMath>
        <m:r>
          <w:rPr>
            <w:rFonts w:ascii="Cambria Math" w:hAnsi="Cambria Math"/>
            <w:lang w:val="en-AU"/>
          </w:rPr>
          <m:t>i</m:t>
        </m:r>
      </m:oMath>
      <w:r w:rsidRPr="00100A52">
        <w:rPr>
          <w:lang w:val="en-AU"/>
        </w:rPr>
        <w:t xml:space="preserve"> in period </w:t>
      </w:r>
      <m:oMath>
        <m:r>
          <w:rPr>
            <w:rFonts w:ascii="Cambria Math" w:hAnsi="Cambria Math"/>
            <w:lang w:val="en-AU"/>
          </w:rPr>
          <m:t>t</m:t>
        </m:r>
      </m:oMath>
      <w:r w:rsidRPr="00100A52">
        <w:rPr>
          <w:lang w:val="en-AU"/>
        </w:rPr>
        <w:t>,</w:t>
      </w:r>
    </w:p>
    <w:p w:rsidR="00CA1FEA" w:rsidRDefault="00714C0B" w:rsidP="00CA1FEA">
      <w:pPr>
        <w:pStyle w:val="ListParagraph"/>
        <w:numPr>
          <w:ilvl w:val="0"/>
          <w:numId w:val="3"/>
        </w:numPr>
        <w:spacing w:line="276" w:lineRule="auto"/>
        <w:ind w:firstLine="720"/>
        <w:rPr>
          <w:lang w:val="en-AU"/>
        </w:rPr>
      </w:pPr>
      <m:oMath>
        <m:sSub>
          <m:sSubPr>
            <m:ctrlPr>
              <w:rPr>
                <w:rFonts w:ascii="Cambria Math" w:hAnsi="Cambria Math"/>
                <w:i/>
                <w:lang w:val="en-AU"/>
              </w:rPr>
            </m:ctrlPr>
          </m:sSubPr>
          <m:e>
            <m:r>
              <m:rPr>
                <m:sty m:val="bi"/>
              </m:rPr>
              <w:rPr>
                <w:rFonts w:ascii="Cambria Math" w:hAnsi="Cambria Math"/>
                <w:lang w:val="en-AU"/>
              </w:rPr>
              <m:t>x</m:t>
            </m:r>
          </m:e>
          <m:sub>
            <m:r>
              <w:rPr>
                <w:rFonts w:ascii="Cambria Math" w:hAnsi="Cambria Math"/>
                <w:lang w:val="en-AU"/>
              </w:rPr>
              <m:t>it</m:t>
            </m:r>
          </m:sub>
        </m:sSub>
      </m:oMath>
      <w:r w:rsidR="00CA1FEA">
        <w:rPr>
          <w:lang w:val="en-AU"/>
        </w:rPr>
        <w:t xml:space="preserve"> </w:t>
      </w:r>
      <w:r w:rsidR="00CA1FEA" w:rsidRPr="00100A52">
        <w:rPr>
          <w:lang w:val="en-AU"/>
        </w:rPr>
        <w:t>is a vector of observed time-varying employee characteristics</w:t>
      </w:r>
      <w:r w:rsidR="00A571E7">
        <w:rPr>
          <w:lang w:val="en-AU"/>
        </w:rPr>
        <w:t>,</w:t>
      </w:r>
    </w:p>
    <w:p w:rsidR="00CA1FEA" w:rsidRPr="00E657C6" w:rsidRDefault="00714C0B" w:rsidP="00CA1FEA">
      <w:pPr>
        <w:pStyle w:val="ListParagraph"/>
        <w:numPr>
          <w:ilvl w:val="0"/>
          <w:numId w:val="3"/>
        </w:numPr>
        <w:spacing w:line="276" w:lineRule="auto"/>
        <w:ind w:firstLine="720"/>
        <w:rPr>
          <w:lang w:val="en-AU"/>
        </w:rPr>
      </w:pPr>
      <m:oMath>
        <m:sSub>
          <m:sSubPr>
            <m:ctrlPr>
              <w:rPr>
                <w:rFonts w:ascii="Cambria Math" w:hAnsi="Cambria Math"/>
                <w:i/>
                <w:lang w:val="en-AU"/>
              </w:rPr>
            </m:ctrlPr>
          </m:sSubPr>
          <m:e>
            <m:r>
              <m:rPr>
                <m:sty m:val="bi"/>
              </m:rPr>
              <w:rPr>
                <w:rFonts w:ascii="Cambria Math" w:hAnsi="Cambria Math"/>
                <w:lang w:val="en-AU"/>
              </w:rPr>
              <m:t>z</m:t>
            </m:r>
          </m:e>
          <m:sub>
            <m:r>
              <m:rPr>
                <m:sty m:val="p"/>
              </m:rPr>
              <w:rPr>
                <w:rFonts w:ascii="Cambria Math" w:hAnsi="Cambria Math"/>
                <w:lang w:val="en-AU"/>
              </w:rPr>
              <m:t>J</m:t>
            </m:r>
            <m:r>
              <w:rPr>
                <w:rFonts w:ascii="Cambria Math" w:hAnsi="Cambria Math"/>
                <w:lang w:val="en-AU"/>
              </w:rPr>
              <m:t>(i,t)</m:t>
            </m:r>
          </m:sub>
        </m:sSub>
      </m:oMath>
      <w:r w:rsidR="00CA1FEA">
        <w:rPr>
          <w:lang w:val="en-AU"/>
        </w:rPr>
        <w:t xml:space="preserve"> </w:t>
      </w:r>
      <w:r w:rsidR="00CA1FEA" w:rsidRPr="00100A52">
        <w:rPr>
          <w:lang w:val="en-AU"/>
        </w:rPr>
        <w:t>is a vector of observed time-varying employer characteristics</w:t>
      </w:r>
      <w:r w:rsidR="00A571E7">
        <w:rPr>
          <w:lang w:val="en-AU"/>
        </w:rPr>
        <w:t>,</w:t>
      </w:r>
      <w:r w:rsidR="00CA1FEA" w:rsidRPr="00E657C6">
        <w:rPr>
          <w:lang w:val="en-AU"/>
        </w:rPr>
        <w:t xml:space="preserve"> </w:t>
      </w:r>
    </w:p>
    <w:p w:rsidR="00CA1FEA" w:rsidRDefault="00714C0B" w:rsidP="00CA1FEA">
      <w:pPr>
        <w:pStyle w:val="ListParagraph"/>
        <w:numPr>
          <w:ilvl w:val="0"/>
          <w:numId w:val="3"/>
        </w:numPr>
        <w:spacing w:line="276" w:lineRule="auto"/>
        <w:ind w:firstLine="720"/>
        <w:rPr>
          <w:lang w:val="en-AU"/>
        </w:rPr>
      </w:pPr>
      <m:oMath>
        <m:sSub>
          <m:sSubPr>
            <m:ctrlPr>
              <w:rPr>
                <w:rFonts w:ascii="Cambria Math" w:hAnsi="Cambria Math"/>
                <w:i/>
                <w:lang w:val="en-AU"/>
              </w:rPr>
            </m:ctrlPr>
          </m:sSubPr>
          <m:e>
            <m:r>
              <w:rPr>
                <w:rFonts w:ascii="Cambria Math" w:hAnsi="Cambria Math"/>
                <w:lang w:val="en-AU"/>
              </w:rPr>
              <m:t>θ</m:t>
            </m:r>
          </m:e>
          <m:sub>
            <m:r>
              <w:rPr>
                <w:rFonts w:ascii="Cambria Math" w:hAnsi="Cambria Math"/>
                <w:lang w:val="en-AU"/>
              </w:rPr>
              <m:t>i</m:t>
            </m:r>
          </m:sub>
        </m:sSub>
      </m:oMath>
      <w:r w:rsidR="00CA1FEA" w:rsidRPr="00100A52">
        <w:rPr>
          <w:lang w:val="en-AU"/>
        </w:rPr>
        <w:t xml:space="preserve"> is an employee fixed effect </w:t>
      </w:r>
      <w:r w:rsidR="00A571E7">
        <w:rPr>
          <w:lang w:val="en-AU"/>
        </w:rPr>
        <w:t xml:space="preserve">and </w:t>
      </w:r>
    </w:p>
    <w:p w:rsidR="00CA1FEA" w:rsidRDefault="00714C0B" w:rsidP="00CA1FEA">
      <w:pPr>
        <w:pStyle w:val="ListParagraph"/>
        <w:numPr>
          <w:ilvl w:val="0"/>
          <w:numId w:val="3"/>
        </w:numPr>
        <w:spacing w:line="276" w:lineRule="auto"/>
        <w:ind w:firstLine="720"/>
        <w:rPr>
          <w:lang w:val="en-AU"/>
        </w:rPr>
      </w:pPr>
      <m:oMath>
        <m:sSub>
          <m:sSubPr>
            <m:ctrlPr>
              <w:rPr>
                <w:rFonts w:ascii="Cambria Math" w:hAnsi="Cambria Math"/>
                <w:i/>
                <w:lang w:val="en-AU"/>
              </w:rPr>
            </m:ctrlPr>
          </m:sSubPr>
          <m:e>
            <m:r>
              <w:rPr>
                <w:rFonts w:ascii="Cambria Math" w:hAnsi="Cambria Math"/>
                <w:lang w:val="en-AU"/>
              </w:rPr>
              <m:t>ϕ</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sub>
        </m:sSub>
      </m:oMath>
      <w:r w:rsidR="00CA1FEA" w:rsidRPr="00100A52">
        <w:rPr>
          <w:lang w:val="en-AU"/>
        </w:rPr>
        <w:t xml:space="preserve"> </w:t>
      </w:r>
      <w:proofErr w:type="gramStart"/>
      <w:r w:rsidR="00CA1FEA" w:rsidRPr="00100A52">
        <w:rPr>
          <w:lang w:val="en-AU"/>
        </w:rPr>
        <w:t>is</w:t>
      </w:r>
      <w:proofErr w:type="gramEnd"/>
      <w:r w:rsidR="00CA1FEA" w:rsidRPr="00100A52">
        <w:rPr>
          <w:lang w:val="en-AU"/>
        </w:rPr>
        <w:t xml:space="preserve"> an employer fixed effect</w:t>
      </w:r>
      <w:r w:rsidR="00852861">
        <w:rPr>
          <w:lang w:val="en-AU"/>
        </w:rPr>
        <w:t>.</w:t>
      </w:r>
    </w:p>
    <w:p w:rsidR="00CA1FEA" w:rsidRDefault="00CA1FEA" w:rsidP="00CA1FEA">
      <w:pPr>
        <w:spacing w:line="276" w:lineRule="auto"/>
        <w:jc w:val="both"/>
        <w:rPr>
          <w:lang w:val="en-AU"/>
        </w:rPr>
      </w:pPr>
    </w:p>
    <w:p w:rsidR="009666F4" w:rsidRPr="00501240" w:rsidRDefault="00CA1FEA" w:rsidP="00CA1FEA">
      <w:pPr>
        <w:spacing w:line="276" w:lineRule="auto"/>
        <w:jc w:val="both"/>
        <w:rPr>
          <w:lang w:val="en-AU"/>
        </w:rPr>
      </w:pPr>
      <w:r>
        <w:rPr>
          <w:lang w:val="en-AU"/>
        </w:rPr>
        <w:t xml:space="preserve">This specification is richer than the typical Mincer specification </w:t>
      </w:r>
      <w:r w:rsidR="00A571E7">
        <w:rPr>
          <w:lang w:val="en-AU"/>
        </w:rPr>
        <w:t>as</w:t>
      </w:r>
      <w:r>
        <w:rPr>
          <w:lang w:val="en-AU"/>
        </w:rPr>
        <w:t xml:space="preserve"> the unit of observation is a given employee at a given point in time and employees change employers over time. </w:t>
      </w:r>
      <w:r w:rsidR="00AB6354">
        <w:rPr>
          <w:lang w:val="en-AU"/>
        </w:rPr>
        <w:t>It</w:t>
      </w:r>
      <w:r>
        <w:rPr>
          <w:lang w:val="en-AU"/>
        </w:rPr>
        <w:t xml:space="preserve"> allows for both</w:t>
      </w:r>
      <w:r w:rsidR="00FF133F">
        <w:rPr>
          <w:lang w:val="en-AU"/>
        </w:rPr>
        <w:t xml:space="preserve"> observed and unobserved</w:t>
      </w:r>
      <w:r>
        <w:rPr>
          <w:lang w:val="en-AU"/>
        </w:rPr>
        <w:t xml:space="preserve"> demand and supply side heterogeneity.</w:t>
      </w:r>
      <w:r>
        <w:rPr>
          <w:rStyle w:val="FootnoteReference"/>
          <w:lang w:val="en-AU"/>
        </w:rPr>
        <w:footnoteReference w:id="1"/>
      </w:r>
      <w:r>
        <w:rPr>
          <w:lang w:val="en-AU"/>
        </w:rPr>
        <w:t xml:space="preserve"> In most of the data sets we describe in </w:t>
      </w:r>
      <w:r w:rsidR="00B02640">
        <w:rPr>
          <w:lang w:val="en-AU"/>
        </w:rPr>
        <w:t>S</w:t>
      </w:r>
      <w:r>
        <w:rPr>
          <w:lang w:val="en-AU"/>
        </w:rPr>
        <w:t xml:space="preserve">ections </w:t>
      </w:r>
      <w:r w:rsidR="00F95AB2">
        <w:rPr>
          <w:lang w:val="en-AU"/>
        </w:rPr>
        <w:t>3</w:t>
      </w:r>
      <w:r>
        <w:rPr>
          <w:lang w:val="en-AU"/>
        </w:rPr>
        <w:t xml:space="preserve"> and </w:t>
      </w:r>
      <w:r w:rsidR="00F95AB2">
        <w:rPr>
          <w:lang w:val="en-AU"/>
        </w:rPr>
        <w:t>4</w:t>
      </w:r>
      <w:r>
        <w:rPr>
          <w:lang w:val="en-AU"/>
        </w:rPr>
        <w:t xml:space="preserve"> there is only a single employer. In this case</w:t>
      </w:r>
      <w:r w:rsidR="00B02640">
        <w:rPr>
          <w:lang w:val="en-AU"/>
        </w:rPr>
        <w:t>,</w:t>
      </w:r>
      <w:r>
        <w:rPr>
          <w:lang w:val="en-AU"/>
        </w:rPr>
        <w:t xml:space="preserve"> the firm-specific component</w:t>
      </w:r>
      <w:r w:rsidRPr="00501240">
        <w:rPr>
          <w:lang w:val="en-AU"/>
        </w:rPr>
        <w:t xml:space="preserve"> </w:t>
      </w:r>
      <m:oMath>
        <m:sSub>
          <m:sSubPr>
            <m:ctrlPr>
              <w:rPr>
                <w:rFonts w:ascii="Cambria Math" w:hAnsi="Cambria Math"/>
                <w:i/>
                <w:lang w:val="en-AU"/>
              </w:rPr>
            </m:ctrlPr>
          </m:sSubPr>
          <m:e>
            <m:r>
              <m:rPr>
                <m:sty m:val="bi"/>
              </m:rPr>
              <w:rPr>
                <w:rFonts w:ascii="Cambria Math" w:hAnsi="Cambria Math"/>
                <w:lang w:val="en-AU"/>
              </w:rPr>
              <m:t>z</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r>
              <w:rPr>
                <w:rFonts w:ascii="Cambria Math" w:hAnsi="Cambria Math"/>
                <w:lang w:val="en-AU"/>
              </w:rPr>
              <m:t>t</m:t>
            </m:r>
          </m:sub>
        </m:sSub>
        <m:r>
          <m:rPr>
            <m:sty m:val="bi"/>
          </m:rPr>
          <w:rPr>
            <w:rFonts w:ascii="Cambria Math" w:hAnsi="Cambria Math"/>
            <w:lang w:val="en-AU"/>
          </w:rPr>
          <m:t>γ+</m:t>
        </m:r>
        <m:sSub>
          <m:sSubPr>
            <m:ctrlPr>
              <w:rPr>
                <w:rFonts w:ascii="Cambria Math" w:hAnsi="Cambria Math"/>
                <w:i/>
                <w:lang w:val="en-AU"/>
              </w:rPr>
            </m:ctrlPr>
          </m:sSubPr>
          <m:e>
            <m:r>
              <w:rPr>
                <w:rFonts w:ascii="Cambria Math" w:hAnsi="Cambria Math"/>
                <w:lang w:val="en-AU"/>
              </w:rPr>
              <m:t>ϕ</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sub>
        </m:sSub>
      </m:oMath>
      <w:r>
        <w:rPr>
          <w:lang w:val="en-AU"/>
        </w:rPr>
        <w:t xml:space="preserve"> drops</w:t>
      </w:r>
      <w:r w:rsidRPr="00501240">
        <w:rPr>
          <w:lang w:val="en-AU"/>
        </w:rPr>
        <w:t xml:space="preserve"> out</w:t>
      </w:r>
      <w:r>
        <w:rPr>
          <w:lang w:val="en-AU"/>
        </w:rPr>
        <w:t>.</w:t>
      </w:r>
      <w:r w:rsidRPr="00501240">
        <w:rPr>
          <w:lang w:val="en-AU"/>
        </w:rPr>
        <w:t xml:space="preserve"> In a few of the data sets there are multiple firms, but only a single time period. In this case</w:t>
      </w:r>
      <w:r w:rsidR="00B02640">
        <w:rPr>
          <w:lang w:val="en-AU"/>
        </w:rPr>
        <w:t>,</w:t>
      </w:r>
      <w:r w:rsidRPr="00501240">
        <w:rPr>
          <w:lang w:val="en-AU"/>
        </w:rPr>
        <w:t xml:space="preserve"> the </w:t>
      </w:r>
      <m:oMath>
        <m:r>
          <w:rPr>
            <w:rFonts w:ascii="Cambria Math" w:hAnsi="Cambria Math"/>
            <w:lang w:val="en-AU"/>
          </w:rPr>
          <m:t>t</m:t>
        </m:r>
      </m:oMath>
      <w:r w:rsidRPr="00501240">
        <w:rPr>
          <w:lang w:val="en-AU"/>
        </w:rPr>
        <w:t xml:space="preserve"> subscript is superfluous and the individual and firm fixed effects </w:t>
      </w:r>
      <m:oMath>
        <m:sSub>
          <m:sSubPr>
            <m:ctrlPr>
              <w:rPr>
                <w:rFonts w:ascii="Cambria Math" w:hAnsi="Cambria Math"/>
                <w:i/>
                <w:lang w:val="en-AU"/>
              </w:rPr>
            </m:ctrlPr>
          </m:sSubPr>
          <m:e>
            <m:r>
              <w:rPr>
                <w:rFonts w:ascii="Cambria Math" w:hAnsi="Cambria Math"/>
                <w:lang w:val="en-AU"/>
              </w:rPr>
              <m:t>θ</m:t>
            </m:r>
          </m:e>
          <m:sub>
            <m:r>
              <w:rPr>
                <w:rFonts w:ascii="Cambria Math" w:hAnsi="Cambria Math"/>
                <w:lang w:val="en-AU"/>
              </w:rPr>
              <m:t>i</m:t>
            </m:r>
          </m:sub>
        </m:sSub>
        <m:r>
          <m:rPr>
            <m:sty m:val="p"/>
          </m:rPr>
          <w:rPr>
            <w:rFonts w:ascii="Cambria Math" w:hAnsi="Cambria Math"/>
            <w:lang w:val="en-AU"/>
          </w:rPr>
          <m:t>and</m:t>
        </m:r>
        <m:r>
          <w:rPr>
            <w:rFonts w:ascii="Cambria Math" w:hAnsi="Cambria Math"/>
            <w:lang w:val="en-AU"/>
          </w:rPr>
          <m:t xml:space="preserve"> </m:t>
        </m:r>
        <m:sSub>
          <m:sSubPr>
            <m:ctrlPr>
              <w:rPr>
                <w:rFonts w:ascii="Cambria Math" w:hAnsi="Cambria Math"/>
                <w:i/>
                <w:lang w:val="en-AU"/>
              </w:rPr>
            </m:ctrlPr>
          </m:sSubPr>
          <m:e>
            <m:r>
              <w:rPr>
                <w:rFonts w:ascii="Cambria Math" w:hAnsi="Cambria Math"/>
                <w:lang w:val="en-AU"/>
              </w:rPr>
              <m:t>ϕ</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sub>
        </m:sSub>
      </m:oMath>
      <w:r>
        <w:rPr>
          <w:lang w:val="en-AU"/>
        </w:rPr>
        <w:t xml:space="preserve"> drop out. Finally, there are data sets which cover a single firm at a single point in time. In this case</w:t>
      </w:r>
      <w:r w:rsidR="00B02640">
        <w:rPr>
          <w:lang w:val="en-AU"/>
        </w:rPr>
        <w:t>,</w:t>
      </w:r>
      <w:r>
        <w:rPr>
          <w:lang w:val="en-AU"/>
        </w:rPr>
        <w:t xml:space="preserve"> both the firm-specific component </w:t>
      </w:r>
      <m:oMath>
        <m:sSub>
          <m:sSubPr>
            <m:ctrlPr>
              <w:rPr>
                <w:rFonts w:ascii="Cambria Math" w:hAnsi="Cambria Math"/>
                <w:i/>
                <w:lang w:val="en-AU"/>
              </w:rPr>
            </m:ctrlPr>
          </m:sSubPr>
          <m:e>
            <m:r>
              <m:rPr>
                <m:sty m:val="bi"/>
              </m:rPr>
              <w:rPr>
                <w:rFonts w:ascii="Cambria Math" w:hAnsi="Cambria Math"/>
                <w:lang w:val="en-AU"/>
              </w:rPr>
              <m:t>z</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r>
              <w:rPr>
                <w:rFonts w:ascii="Cambria Math" w:hAnsi="Cambria Math"/>
                <w:lang w:val="en-AU"/>
              </w:rPr>
              <m:t>t</m:t>
            </m:r>
          </m:sub>
        </m:sSub>
        <m:r>
          <m:rPr>
            <m:sty m:val="bi"/>
          </m:rPr>
          <w:rPr>
            <w:rFonts w:ascii="Cambria Math" w:hAnsi="Cambria Math"/>
            <w:lang w:val="en-AU"/>
          </w:rPr>
          <m:t>γ+</m:t>
        </m:r>
        <m:sSub>
          <m:sSubPr>
            <m:ctrlPr>
              <w:rPr>
                <w:rFonts w:ascii="Cambria Math" w:hAnsi="Cambria Math"/>
                <w:i/>
                <w:lang w:val="en-AU"/>
              </w:rPr>
            </m:ctrlPr>
          </m:sSubPr>
          <m:e>
            <m:r>
              <w:rPr>
                <w:rFonts w:ascii="Cambria Math" w:hAnsi="Cambria Math"/>
                <w:lang w:val="en-AU"/>
              </w:rPr>
              <m:t>ϕ</m:t>
            </m:r>
          </m:e>
          <m:sub>
            <m:r>
              <m:rPr>
                <m:sty m:val="p"/>
              </m:rPr>
              <w:rPr>
                <w:rFonts w:ascii="Cambria Math" w:hAnsi="Cambria Math"/>
                <w:lang w:val="en-AU"/>
              </w:rPr>
              <m:t>J</m:t>
            </m:r>
            <m:d>
              <m:dPr>
                <m:ctrlPr>
                  <w:rPr>
                    <w:rFonts w:ascii="Cambria Math" w:hAnsi="Cambria Math"/>
                    <w:i/>
                    <w:lang w:val="en-AU"/>
                  </w:rPr>
                </m:ctrlPr>
              </m:dPr>
              <m:e>
                <m:r>
                  <w:rPr>
                    <w:rFonts w:ascii="Cambria Math" w:hAnsi="Cambria Math"/>
                    <w:lang w:val="en-AU"/>
                  </w:rPr>
                  <m:t>i,t</m:t>
                </m:r>
              </m:e>
            </m:d>
          </m:sub>
        </m:sSub>
      </m:oMath>
      <w:r>
        <w:rPr>
          <w:lang w:val="en-AU"/>
        </w:rPr>
        <w:t xml:space="preserve"> and the worker fixed effect </w:t>
      </w:r>
      <m:oMath>
        <m:sSub>
          <m:sSubPr>
            <m:ctrlPr>
              <w:rPr>
                <w:rFonts w:ascii="Cambria Math" w:hAnsi="Cambria Math"/>
                <w:i/>
                <w:lang w:val="en-AU"/>
              </w:rPr>
            </m:ctrlPr>
          </m:sSubPr>
          <m:e>
            <m:r>
              <w:rPr>
                <w:rFonts w:ascii="Cambria Math" w:hAnsi="Cambria Math"/>
                <w:lang w:val="en-AU"/>
              </w:rPr>
              <m:t>θ</m:t>
            </m:r>
          </m:e>
          <m:sub>
            <m:r>
              <w:rPr>
                <w:rFonts w:ascii="Cambria Math" w:hAnsi="Cambria Math"/>
                <w:lang w:val="en-AU"/>
              </w:rPr>
              <m:t>i</m:t>
            </m:r>
          </m:sub>
        </m:sSub>
      </m:oMath>
      <w:r>
        <w:rPr>
          <w:lang w:val="en-AU"/>
        </w:rPr>
        <w:t xml:space="preserve"> drop out. </w:t>
      </w:r>
    </w:p>
    <w:p w:rsidR="009666F4" w:rsidRPr="00501240" w:rsidRDefault="009666F4" w:rsidP="009666F4">
      <w:pPr>
        <w:spacing w:line="276" w:lineRule="auto"/>
        <w:jc w:val="both"/>
        <w:rPr>
          <w:lang w:val="en-AU"/>
        </w:rPr>
      </w:pPr>
    </w:p>
    <w:p w:rsidR="00145319" w:rsidRPr="000F2880" w:rsidRDefault="00145319" w:rsidP="005A5089">
      <w:pPr>
        <w:spacing w:line="276" w:lineRule="auto"/>
        <w:rPr>
          <w:lang w:val="en-AU"/>
        </w:rPr>
      </w:pPr>
    </w:p>
    <w:p w:rsidR="001553F2" w:rsidRPr="00EE1323" w:rsidRDefault="00EE1323" w:rsidP="005A5089">
      <w:pPr>
        <w:spacing w:line="276" w:lineRule="auto"/>
        <w:rPr>
          <w:b/>
          <w:lang w:val="en-AU"/>
        </w:rPr>
      </w:pPr>
      <w:r>
        <w:rPr>
          <w:b/>
          <w:lang w:val="en-AU"/>
        </w:rPr>
        <w:t>3</w:t>
      </w:r>
      <w:r w:rsidR="00C8448E" w:rsidRPr="00C8448E">
        <w:rPr>
          <w:b/>
          <w:lang w:val="en-AU"/>
        </w:rPr>
        <w:t>. Historical Records</w:t>
      </w:r>
    </w:p>
    <w:p w:rsidR="001553F2" w:rsidRPr="000F2880" w:rsidRDefault="001553F2" w:rsidP="005A5089">
      <w:pPr>
        <w:spacing w:line="276" w:lineRule="auto"/>
        <w:rPr>
          <w:lang w:val="en-AU"/>
        </w:rPr>
      </w:pPr>
    </w:p>
    <w:p w:rsidR="00FB2065" w:rsidRDefault="001553F2" w:rsidP="005A5089">
      <w:pPr>
        <w:spacing w:line="276" w:lineRule="auto"/>
        <w:rPr>
          <w:lang w:val="en-AU"/>
        </w:rPr>
      </w:pPr>
      <w:r w:rsidRPr="000F2880">
        <w:rPr>
          <w:lang w:val="en-AU"/>
        </w:rPr>
        <w:t>Governments dating back to antiquity have kept employment records.</w:t>
      </w:r>
      <w:r w:rsidRPr="000F2880">
        <w:rPr>
          <w:rStyle w:val="FootnoteReference"/>
          <w:lang w:val="en-AU"/>
        </w:rPr>
        <w:footnoteReference w:id="2"/>
      </w:r>
      <w:r w:rsidRPr="000F2880">
        <w:rPr>
          <w:lang w:val="en-AU"/>
        </w:rPr>
        <w:t xml:space="preserve"> As far as we are aware, firm-level records date back to the large trading companies established in the 17</w:t>
      </w:r>
      <w:r w:rsidRPr="000F2880">
        <w:rPr>
          <w:vertAlign w:val="superscript"/>
          <w:lang w:val="en-AU"/>
        </w:rPr>
        <w:t>th</w:t>
      </w:r>
      <w:r w:rsidRPr="000F2880">
        <w:rPr>
          <w:lang w:val="en-AU"/>
        </w:rPr>
        <w:t xml:space="preserve"> century.</w:t>
      </w:r>
      <w:r w:rsidR="005E76EB">
        <w:rPr>
          <w:rStyle w:val="FootnoteReference"/>
          <w:lang w:val="en-AU"/>
        </w:rPr>
        <w:footnoteReference w:id="3"/>
      </w:r>
      <w:r w:rsidRPr="000F2880">
        <w:rPr>
          <w:lang w:val="en-AU"/>
        </w:rPr>
        <w:t xml:space="preserve"> Data for most service-sector and manufacturing industries only date back to the Industrial Revolution. </w:t>
      </w:r>
      <w:r w:rsidR="00FB2065" w:rsidRPr="000F2880">
        <w:rPr>
          <w:lang w:val="en-AU"/>
        </w:rPr>
        <w:t>Firms employ</w:t>
      </w:r>
      <w:r w:rsidR="00060258">
        <w:rPr>
          <w:lang w:val="en-AU"/>
        </w:rPr>
        <w:t>ing</w:t>
      </w:r>
      <w:r w:rsidR="00FB2065" w:rsidRPr="000F2880">
        <w:rPr>
          <w:lang w:val="en-AU"/>
        </w:rPr>
        <w:t xml:space="preserve"> hundreds or thousands of workers</w:t>
      </w:r>
      <w:r w:rsidR="00060258">
        <w:rPr>
          <w:lang w:val="en-AU"/>
        </w:rPr>
        <w:t xml:space="preserve">, which </w:t>
      </w:r>
      <w:r w:rsidR="00BB1A8C">
        <w:rPr>
          <w:lang w:val="en-AU"/>
        </w:rPr>
        <w:t xml:space="preserve">have only </w:t>
      </w:r>
      <w:r w:rsidR="00BB1A8C">
        <w:rPr>
          <w:lang w:val="en-AU"/>
        </w:rPr>
        <w:lastRenderedPageBreak/>
        <w:t>been commonplace since the Industrial Revolution,</w:t>
      </w:r>
      <w:r w:rsidR="00FB2065" w:rsidRPr="000F2880">
        <w:rPr>
          <w:lang w:val="en-AU"/>
        </w:rPr>
        <w:t xml:space="preserve"> needed far more sophisticated labour management practices and record-keeping systems than the smaller entities which preceded them.</w:t>
      </w:r>
    </w:p>
    <w:p w:rsidR="00FB2065" w:rsidRDefault="00FB2065" w:rsidP="005A5089">
      <w:pPr>
        <w:spacing w:line="276" w:lineRule="auto"/>
        <w:rPr>
          <w:lang w:val="en-AU"/>
        </w:rPr>
      </w:pPr>
    </w:p>
    <w:p w:rsidR="00700947" w:rsidRDefault="00BF168A" w:rsidP="003E76B5">
      <w:pPr>
        <w:spacing w:line="276" w:lineRule="auto"/>
        <w:rPr>
          <w:lang w:val="en-AU"/>
        </w:rPr>
      </w:pPr>
      <w:r w:rsidRPr="000F2880">
        <w:rPr>
          <w:lang w:val="en-AU"/>
        </w:rPr>
        <w:t xml:space="preserve">Several of the </w:t>
      </w:r>
      <w:r w:rsidR="00542D4C">
        <w:rPr>
          <w:lang w:val="en-AU"/>
        </w:rPr>
        <w:t xml:space="preserve">historical </w:t>
      </w:r>
      <w:r w:rsidRPr="000F2880">
        <w:rPr>
          <w:lang w:val="en-AU"/>
        </w:rPr>
        <w:t xml:space="preserve">data sets we discuss below cover the entire careers of even the longest serving employees. </w:t>
      </w:r>
      <w:r w:rsidR="001553F2" w:rsidRPr="000F2880">
        <w:rPr>
          <w:lang w:val="en-AU"/>
        </w:rPr>
        <w:t xml:space="preserve">Historical data typically </w:t>
      </w:r>
      <w:r>
        <w:rPr>
          <w:lang w:val="en-AU"/>
        </w:rPr>
        <w:t>has</w:t>
      </w:r>
      <w:r w:rsidR="001553F2" w:rsidRPr="000F2880">
        <w:rPr>
          <w:lang w:val="en-AU"/>
        </w:rPr>
        <w:t xml:space="preserve"> the </w:t>
      </w:r>
      <w:r>
        <w:rPr>
          <w:lang w:val="en-AU"/>
        </w:rPr>
        <w:t xml:space="preserve">additional </w:t>
      </w:r>
      <w:r w:rsidR="001553F2" w:rsidRPr="000F2880">
        <w:rPr>
          <w:lang w:val="en-AU"/>
        </w:rPr>
        <w:t>advantage of comparatively low confidentiality requirements. The records of many now-defunct firms are stored in archives that are freely accessible to the public</w:t>
      </w:r>
      <w:r w:rsidR="00A16B16">
        <w:rPr>
          <w:lang w:val="en-AU"/>
        </w:rPr>
        <w:t>. F</w:t>
      </w:r>
      <w:r w:rsidR="001553F2" w:rsidRPr="000F2880">
        <w:rPr>
          <w:lang w:val="en-AU"/>
        </w:rPr>
        <w:t xml:space="preserve">irms still </w:t>
      </w:r>
      <w:r w:rsidR="00A16B16" w:rsidRPr="000F2880">
        <w:rPr>
          <w:lang w:val="en-AU"/>
        </w:rPr>
        <w:t>operat</w:t>
      </w:r>
      <w:r w:rsidR="00A16B16">
        <w:rPr>
          <w:lang w:val="en-AU"/>
        </w:rPr>
        <w:t>ing</w:t>
      </w:r>
      <w:r w:rsidR="00A16B16" w:rsidRPr="000F2880">
        <w:rPr>
          <w:lang w:val="en-AU"/>
        </w:rPr>
        <w:t xml:space="preserve"> </w:t>
      </w:r>
      <w:r w:rsidR="001553F2" w:rsidRPr="000F2880">
        <w:rPr>
          <w:lang w:val="en-AU"/>
        </w:rPr>
        <w:t xml:space="preserve">are often relatively open to allowing researchers access to records of long-retired staff. </w:t>
      </w:r>
      <w:r w:rsidR="00700947">
        <w:rPr>
          <w:lang w:val="en-AU"/>
        </w:rPr>
        <w:t>However, m</w:t>
      </w:r>
      <w:r w:rsidR="001553F2" w:rsidRPr="000F2880">
        <w:rPr>
          <w:lang w:val="en-AU"/>
        </w:rPr>
        <w:t xml:space="preserve">ost of the records we describe below were originally transcribed by hand. As a result, many of these records only </w:t>
      </w:r>
      <w:r w:rsidR="00A80BA0">
        <w:rPr>
          <w:lang w:val="en-AU"/>
        </w:rPr>
        <w:t>contain</w:t>
      </w:r>
      <w:r w:rsidR="001553F2" w:rsidRPr="000F2880">
        <w:rPr>
          <w:lang w:val="en-AU"/>
        </w:rPr>
        <w:t xml:space="preserve"> the most basic infor</w:t>
      </w:r>
      <w:r w:rsidR="001553F2">
        <w:rPr>
          <w:lang w:val="en-AU"/>
        </w:rPr>
        <w:t>mation</w:t>
      </w:r>
      <w:r w:rsidR="001553F2" w:rsidRPr="000F2880">
        <w:rPr>
          <w:lang w:val="en-AU"/>
        </w:rPr>
        <w:t>.</w:t>
      </w:r>
      <w:r w:rsidR="00F87665">
        <w:rPr>
          <w:lang w:val="en-AU"/>
        </w:rPr>
        <w:t xml:space="preserve"> </w:t>
      </w:r>
    </w:p>
    <w:p w:rsidR="001553F2" w:rsidRPr="000F2880" w:rsidRDefault="001553F2" w:rsidP="005A5089">
      <w:pPr>
        <w:spacing w:line="276" w:lineRule="auto"/>
        <w:rPr>
          <w:lang w:val="en-AU"/>
        </w:rPr>
      </w:pPr>
    </w:p>
    <w:p w:rsidR="001553F2" w:rsidRPr="000F2880" w:rsidRDefault="001553F2" w:rsidP="005A5089">
      <w:pPr>
        <w:spacing w:line="276" w:lineRule="auto"/>
        <w:rPr>
          <w:lang w:val="en-AU"/>
        </w:rPr>
      </w:pPr>
      <w:r w:rsidRPr="000F2880">
        <w:rPr>
          <w:lang w:val="en-AU"/>
        </w:rPr>
        <w:t xml:space="preserve">Banks are </w:t>
      </w:r>
      <w:r w:rsidR="00BF168A">
        <w:rPr>
          <w:lang w:val="en-AU"/>
        </w:rPr>
        <w:t>perhaps</w:t>
      </w:r>
      <w:r w:rsidRPr="000F2880">
        <w:rPr>
          <w:lang w:val="en-AU"/>
        </w:rPr>
        <w:t xml:space="preserve"> the single best source of historical personnel data. When banks evolved from operating a single branch to operating extensive branch networks, they began to adopt bureaucratic personnel practices. This transformation occurre</w:t>
      </w:r>
      <w:r w:rsidR="00FB2065">
        <w:rPr>
          <w:lang w:val="en-AU"/>
        </w:rPr>
        <w:t>d first in Scotland in the late-</w:t>
      </w:r>
      <w:r w:rsidRPr="000F2880">
        <w:rPr>
          <w:lang w:val="en-AU"/>
        </w:rPr>
        <w:t>18</w:t>
      </w:r>
      <w:r w:rsidRPr="000F2880">
        <w:rPr>
          <w:vertAlign w:val="superscript"/>
          <w:lang w:val="en-AU"/>
        </w:rPr>
        <w:t>th</w:t>
      </w:r>
      <w:r w:rsidRPr="000F2880">
        <w:rPr>
          <w:lang w:val="en-AU"/>
        </w:rPr>
        <w:t xml:space="preserve"> century</w:t>
      </w:r>
      <w:r w:rsidR="00BB3232">
        <w:rPr>
          <w:lang w:val="en-AU"/>
        </w:rPr>
        <w:t>. See</w:t>
      </w:r>
      <w:r w:rsidRPr="000F2880">
        <w:rPr>
          <w:lang w:val="en-AU"/>
        </w:rPr>
        <w:t xml:space="preserve"> Boot </w:t>
      </w:r>
      <w:r w:rsidR="00BB3232">
        <w:rPr>
          <w:lang w:val="en-AU"/>
        </w:rPr>
        <w:t>(</w:t>
      </w:r>
      <w:r w:rsidRPr="000F2880">
        <w:rPr>
          <w:lang w:val="en-AU"/>
        </w:rPr>
        <w:t>1991). A second pertinent feature of banking is that the nature of the business required meticulous record keeping. Larger banks employed hundreds of clerks, many specifically as ledger keepers, to record all business transactions. It was a small step from recording details of business transactions to recording wages and other personnel data. When the banks began to develop pensions in the mid-19</w:t>
      </w:r>
      <w:r w:rsidRPr="000F2880">
        <w:rPr>
          <w:vertAlign w:val="superscript"/>
          <w:lang w:val="en-AU"/>
        </w:rPr>
        <w:t>th</w:t>
      </w:r>
      <w:r w:rsidRPr="000F2880">
        <w:rPr>
          <w:lang w:val="en-AU"/>
        </w:rPr>
        <w:t xml:space="preserve"> century, employment records became absolutely essential. </w:t>
      </w:r>
    </w:p>
    <w:p w:rsidR="001553F2" w:rsidRPr="000F2880" w:rsidRDefault="001553F2" w:rsidP="005A5089">
      <w:pPr>
        <w:spacing w:line="276" w:lineRule="auto"/>
        <w:rPr>
          <w:lang w:val="en-AU"/>
        </w:rPr>
      </w:pPr>
    </w:p>
    <w:p w:rsidR="001553F2" w:rsidRPr="000F2880" w:rsidRDefault="00BB3232" w:rsidP="005A5089">
      <w:pPr>
        <w:spacing w:line="276" w:lineRule="auto"/>
        <w:rPr>
          <w:lang w:val="en-AU"/>
        </w:rPr>
      </w:pPr>
      <w:r w:rsidRPr="000F2880">
        <w:rPr>
          <w:lang w:val="en-AU"/>
        </w:rPr>
        <w:t>Seltzer</w:t>
      </w:r>
      <w:r>
        <w:rPr>
          <w:lang w:val="en-AU"/>
        </w:rPr>
        <w:t xml:space="preserve"> and </w:t>
      </w:r>
      <w:proofErr w:type="spellStart"/>
      <w:r>
        <w:rPr>
          <w:lang w:val="en-AU"/>
        </w:rPr>
        <w:t>Merrett</w:t>
      </w:r>
      <w:proofErr w:type="spellEnd"/>
      <w:r w:rsidRPr="000F2880">
        <w:rPr>
          <w:lang w:val="en-AU"/>
        </w:rPr>
        <w:t xml:space="preserve"> </w:t>
      </w:r>
      <w:r>
        <w:rPr>
          <w:lang w:val="en-AU"/>
        </w:rPr>
        <w:t>(2000)</w:t>
      </w:r>
      <w:r w:rsidRPr="000F2880">
        <w:rPr>
          <w:lang w:val="en-AU"/>
        </w:rPr>
        <w:t xml:space="preserve"> and </w:t>
      </w:r>
      <w:r>
        <w:rPr>
          <w:lang w:val="en-AU"/>
        </w:rPr>
        <w:t>Seltzer and Simons (</w:t>
      </w:r>
      <w:r w:rsidRPr="000F2880">
        <w:rPr>
          <w:lang w:val="en-AU"/>
        </w:rPr>
        <w:t>2001)</w:t>
      </w:r>
      <w:r w:rsidR="00205FA6">
        <w:rPr>
          <w:lang w:val="en-AU"/>
        </w:rPr>
        <w:t xml:space="preserve"> </w:t>
      </w:r>
      <w:r w:rsidR="001553F2" w:rsidRPr="000F2880">
        <w:rPr>
          <w:lang w:val="en-AU"/>
        </w:rPr>
        <w:t>use records from the Union Bank of Australia</w:t>
      </w:r>
      <w:r w:rsidR="00940A4C">
        <w:rPr>
          <w:lang w:val="en-AU"/>
        </w:rPr>
        <w:t xml:space="preserve"> (UBA)</w:t>
      </w:r>
      <w:r w:rsidR="001553F2" w:rsidRPr="000F2880">
        <w:rPr>
          <w:lang w:val="en-AU"/>
        </w:rPr>
        <w:t xml:space="preserve"> to compile a large data set covering the entire careers of all workers </w:t>
      </w:r>
      <w:r w:rsidR="00BF168A">
        <w:rPr>
          <w:lang w:val="en-AU"/>
        </w:rPr>
        <w:t xml:space="preserve">employed </w:t>
      </w:r>
      <w:r w:rsidR="001553F2" w:rsidRPr="000F2880">
        <w:rPr>
          <w:lang w:val="en-AU"/>
        </w:rPr>
        <w:t>at the bank between 1887 and 1900 and a sample of entrants between 1917 and 1927. All tota</w:t>
      </w:r>
      <w:r w:rsidR="001553F2">
        <w:rPr>
          <w:lang w:val="en-AU"/>
        </w:rPr>
        <w:t>l</w:t>
      </w:r>
      <w:r w:rsidR="001553F2" w:rsidRPr="000F2880">
        <w:rPr>
          <w:lang w:val="en-AU"/>
        </w:rPr>
        <w:t xml:space="preserve">led, the UBA data set contains 1,767 workers and approximately 38,000 man-years of data. Seltzer </w:t>
      </w:r>
      <w:r>
        <w:rPr>
          <w:lang w:val="en-AU"/>
        </w:rPr>
        <w:t xml:space="preserve">and Simons (2001) </w:t>
      </w:r>
      <w:r w:rsidR="001553F2" w:rsidRPr="000F2880">
        <w:rPr>
          <w:lang w:val="en-AU"/>
        </w:rPr>
        <w:t xml:space="preserve">also </w:t>
      </w:r>
      <w:r>
        <w:rPr>
          <w:lang w:val="en-AU"/>
        </w:rPr>
        <w:t>use</w:t>
      </w:r>
      <w:r w:rsidR="001553F2" w:rsidRPr="000F2880">
        <w:rPr>
          <w:lang w:val="en-AU"/>
        </w:rPr>
        <w:t xml:space="preserve"> smaller data sets from personnel records of the Bank of Australasia</w:t>
      </w:r>
      <w:r w:rsidR="00A91235">
        <w:rPr>
          <w:lang w:val="en-AU"/>
        </w:rPr>
        <w:t xml:space="preserve"> (covering the entire careers of a sample of entrants between </w:t>
      </w:r>
      <w:r w:rsidR="006D7CB9">
        <w:rPr>
          <w:lang w:val="en-AU"/>
        </w:rPr>
        <w:t>1887 and 1897</w:t>
      </w:r>
      <w:r w:rsidR="00A91235">
        <w:rPr>
          <w:lang w:val="en-AU"/>
        </w:rPr>
        <w:t>)</w:t>
      </w:r>
      <w:r w:rsidR="001553F2" w:rsidRPr="000F2880">
        <w:rPr>
          <w:lang w:val="en-AU"/>
        </w:rPr>
        <w:t>, the Queensland National Bank</w:t>
      </w:r>
      <w:r w:rsidR="00A91235">
        <w:rPr>
          <w:lang w:val="en-AU"/>
        </w:rPr>
        <w:t xml:space="preserve"> (covering all staff in 1892)</w:t>
      </w:r>
      <w:r w:rsidR="001553F2" w:rsidRPr="000F2880">
        <w:rPr>
          <w:lang w:val="en-AU"/>
        </w:rPr>
        <w:t>, the Bank of South Australia</w:t>
      </w:r>
      <w:r w:rsidR="00A91235">
        <w:rPr>
          <w:lang w:val="en-AU"/>
        </w:rPr>
        <w:t xml:space="preserve"> (covering all staff between </w:t>
      </w:r>
      <w:r w:rsidR="006D7CB9">
        <w:t>1864-1874 and 1879-1891</w:t>
      </w:r>
      <w:r w:rsidR="00A91235">
        <w:rPr>
          <w:lang w:val="en-AU"/>
        </w:rPr>
        <w:t>)</w:t>
      </w:r>
      <w:r w:rsidR="001553F2" w:rsidRPr="000F2880">
        <w:rPr>
          <w:lang w:val="en-AU"/>
        </w:rPr>
        <w:t xml:space="preserve"> and the Bank of Adelaide</w:t>
      </w:r>
      <w:r w:rsidR="00A91235">
        <w:rPr>
          <w:lang w:val="en-AU"/>
        </w:rPr>
        <w:t xml:space="preserve"> (covering all staff in 1917 and 1931)</w:t>
      </w:r>
      <w:r w:rsidR="001553F2" w:rsidRPr="000F2880">
        <w:rPr>
          <w:lang w:val="en-AU"/>
        </w:rPr>
        <w:t xml:space="preserve">. Pope </w:t>
      </w:r>
      <w:r w:rsidR="00D94C48">
        <w:rPr>
          <w:lang w:val="en-AU"/>
        </w:rPr>
        <w:t xml:space="preserve">(1989) </w:t>
      </w:r>
      <w:r w:rsidR="001553F2" w:rsidRPr="000F2880">
        <w:rPr>
          <w:lang w:val="en-AU"/>
        </w:rPr>
        <w:t xml:space="preserve">has compiled a smaller data set from records of the Bank of New South Wales. </w:t>
      </w:r>
    </w:p>
    <w:p w:rsidR="001553F2" w:rsidRPr="000F2880" w:rsidRDefault="001553F2" w:rsidP="005A5089">
      <w:pPr>
        <w:spacing w:line="276" w:lineRule="auto"/>
        <w:rPr>
          <w:lang w:val="en-AU"/>
        </w:rPr>
      </w:pPr>
    </w:p>
    <w:p w:rsidR="001553F2" w:rsidRPr="000F2880" w:rsidRDefault="001553F2" w:rsidP="005A5089">
      <w:pPr>
        <w:spacing w:line="276" w:lineRule="auto"/>
        <w:rPr>
          <w:lang w:val="en-AU"/>
        </w:rPr>
      </w:pPr>
      <w:r w:rsidRPr="000F2880">
        <w:rPr>
          <w:lang w:val="en-AU"/>
        </w:rPr>
        <w:t>Similar data exi</w:t>
      </w:r>
      <w:r w:rsidR="00FC59E1">
        <w:rPr>
          <w:lang w:val="en-AU"/>
        </w:rPr>
        <w:t>s</w:t>
      </w:r>
      <w:r w:rsidRPr="000F2880">
        <w:rPr>
          <w:lang w:val="en-AU"/>
        </w:rPr>
        <w:t>t</w:t>
      </w:r>
      <w:r w:rsidR="00FC59E1">
        <w:rPr>
          <w:lang w:val="en-AU"/>
        </w:rPr>
        <w:t>s</w:t>
      </w:r>
      <w:r w:rsidRPr="000F2880">
        <w:rPr>
          <w:lang w:val="en-AU"/>
        </w:rPr>
        <w:t xml:space="preserve"> for banks in several other countries. </w:t>
      </w:r>
      <w:r w:rsidR="00BB3232">
        <w:rPr>
          <w:lang w:val="en-AU"/>
        </w:rPr>
        <w:t xml:space="preserve">Seltzer (2011 and 2013) uses </w:t>
      </w:r>
      <w:r w:rsidRPr="000F2880">
        <w:rPr>
          <w:lang w:val="en-AU"/>
        </w:rPr>
        <w:t xml:space="preserve">data </w:t>
      </w:r>
      <w:r w:rsidR="00205FA6">
        <w:rPr>
          <w:lang w:val="en-AU"/>
        </w:rPr>
        <w:t>covering</w:t>
      </w:r>
      <w:r w:rsidR="00205FA6" w:rsidRPr="000F2880">
        <w:rPr>
          <w:lang w:val="en-AU"/>
        </w:rPr>
        <w:t xml:space="preserve"> </w:t>
      </w:r>
      <w:r w:rsidRPr="000F2880">
        <w:rPr>
          <w:lang w:val="en-AU"/>
        </w:rPr>
        <w:t xml:space="preserve">virtually all employees at Williams Deacon’s Bank (England) between 1890 and 1941 and smaller data sets </w:t>
      </w:r>
      <w:r w:rsidR="00205FA6">
        <w:rPr>
          <w:lang w:val="en-AU"/>
        </w:rPr>
        <w:t>covering employees at</w:t>
      </w:r>
      <w:r w:rsidR="00205FA6" w:rsidRPr="000F2880">
        <w:rPr>
          <w:lang w:val="en-AU"/>
        </w:rPr>
        <w:t xml:space="preserve"> </w:t>
      </w:r>
      <w:r w:rsidR="00CE4BB3" w:rsidRPr="000F7BA2">
        <w:t>Manches</w:t>
      </w:r>
      <w:r w:rsidR="00FB2065">
        <w:t>ter and Liverpool District Bank</w:t>
      </w:r>
      <w:r w:rsidRPr="000F2880">
        <w:rPr>
          <w:lang w:val="en-AU"/>
        </w:rPr>
        <w:t xml:space="preserve"> and Sheffield and Rotherham Bank. </w:t>
      </w:r>
      <w:r w:rsidR="00FC59E1">
        <w:rPr>
          <w:lang w:val="en-AU"/>
        </w:rPr>
        <w:t xml:space="preserve">The Williams Deacons data cover over </w:t>
      </w:r>
      <w:r w:rsidR="00025E27">
        <w:rPr>
          <w:lang w:val="en-AU"/>
        </w:rPr>
        <w:t>2,300 male staff and 35,000 man-</w:t>
      </w:r>
      <w:r w:rsidR="00FC59E1">
        <w:rPr>
          <w:lang w:val="en-AU"/>
        </w:rPr>
        <w:t xml:space="preserve">years, the other two cover 323 staff and 2,283 man-years combined. </w:t>
      </w:r>
      <w:r w:rsidRPr="000F2880">
        <w:rPr>
          <w:lang w:val="en-AU"/>
        </w:rPr>
        <w:t xml:space="preserve">One advantage that the Williams Deacon’s data possesses relative to other data </w:t>
      </w:r>
      <w:r w:rsidR="00A80BA0">
        <w:rPr>
          <w:lang w:val="en-AU"/>
        </w:rPr>
        <w:t xml:space="preserve">from the </w:t>
      </w:r>
      <w:r w:rsidR="00A80BA0" w:rsidRPr="000F2880">
        <w:rPr>
          <w:lang w:val="en-AU"/>
        </w:rPr>
        <w:t>banking</w:t>
      </w:r>
      <w:r w:rsidR="00A80BA0">
        <w:rPr>
          <w:lang w:val="en-AU"/>
        </w:rPr>
        <w:t xml:space="preserve"> industry</w:t>
      </w:r>
      <w:r w:rsidRPr="000F2880">
        <w:rPr>
          <w:lang w:val="en-AU"/>
        </w:rPr>
        <w:t xml:space="preserve"> is that it also includes 1</w:t>
      </w:r>
      <w:r w:rsidR="003A683F">
        <w:rPr>
          <w:lang w:val="en-AU"/>
        </w:rPr>
        <w:t>,</w:t>
      </w:r>
      <w:r w:rsidRPr="000F2880">
        <w:rPr>
          <w:lang w:val="en-AU"/>
        </w:rPr>
        <w:t xml:space="preserve">300 women, who were first employed from 1915. </w:t>
      </w:r>
      <w:r w:rsidR="00610FBD">
        <w:rPr>
          <w:lang w:val="en-AU"/>
        </w:rPr>
        <w:t>There exists a long literature on gender in 19</w:t>
      </w:r>
      <w:r w:rsidR="00610FBD" w:rsidRPr="00610FBD">
        <w:rPr>
          <w:vertAlign w:val="superscript"/>
          <w:lang w:val="en-AU"/>
        </w:rPr>
        <w:t>th</w:t>
      </w:r>
      <w:r w:rsidR="00E45BFE">
        <w:rPr>
          <w:lang w:val="en-AU"/>
        </w:rPr>
        <w:t xml:space="preserve"> and early-</w:t>
      </w:r>
      <w:r w:rsidR="00610FBD">
        <w:rPr>
          <w:lang w:val="en-AU"/>
        </w:rPr>
        <w:t>20</w:t>
      </w:r>
      <w:r w:rsidR="00610FBD" w:rsidRPr="00610FBD">
        <w:rPr>
          <w:vertAlign w:val="superscript"/>
          <w:lang w:val="en-AU"/>
        </w:rPr>
        <w:t>th</w:t>
      </w:r>
      <w:r w:rsidR="00610FBD">
        <w:rPr>
          <w:lang w:val="en-AU"/>
        </w:rPr>
        <w:t xml:space="preserve"> century clerical labour markets</w:t>
      </w:r>
      <w:r w:rsidR="00BB3232">
        <w:rPr>
          <w:lang w:val="en-AU"/>
        </w:rPr>
        <w:t xml:space="preserve">, see </w:t>
      </w:r>
      <w:proofErr w:type="spellStart"/>
      <w:r w:rsidR="00610FBD">
        <w:rPr>
          <w:lang w:val="en-AU"/>
        </w:rPr>
        <w:t>Goldin</w:t>
      </w:r>
      <w:proofErr w:type="spellEnd"/>
      <w:r w:rsidR="00610FBD">
        <w:rPr>
          <w:lang w:val="en-AU"/>
        </w:rPr>
        <w:t xml:space="preserve"> </w:t>
      </w:r>
      <w:r w:rsidR="00BB3232">
        <w:rPr>
          <w:lang w:val="en-AU"/>
        </w:rPr>
        <w:t>(</w:t>
      </w:r>
      <w:r w:rsidR="00610FBD">
        <w:rPr>
          <w:lang w:val="en-AU"/>
        </w:rPr>
        <w:t>199</w:t>
      </w:r>
      <w:r w:rsidR="00CE4BB3">
        <w:rPr>
          <w:lang w:val="en-AU"/>
        </w:rPr>
        <w:t>0</w:t>
      </w:r>
      <w:r w:rsidR="00610FBD">
        <w:rPr>
          <w:lang w:val="en-AU"/>
        </w:rPr>
        <w:t>)</w:t>
      </w:r>
      <w:r w:rsidR="00BB3232">
        <w:rPr>
          <w:lang w:val="en-AU"/>
        </w:rPr>
        <w:t>,</w:t>
      </w:r>
      <w:r w:rsidR="00610FBD">
        <w:rPr>
          <w:lang w:val="en-AU"/>
        </w:rPr>
        <w:t xml:space="preserve"> and personnel data are an excellent source of information about career opportunities for women and the effects of female employment on male staff. </w:t>
      </w:r>
    </w:p>
    <w:p w:rsidR="00B02640" w:rsidRDefault="00B02640" w:rsidP="005A5089">
      <w:pPr>
        <w:spacing w:line="276" w:lineRule="auto"/>
        <w:rPr>
          <w:lang w:val="en-AU"/>
        </w:rPr>
      </w:pPr>
    </w:p>
    <w:p w:rsidR="001553F2" w:rsidRPr="000F2880" w:rsidRDefault="001553F2" w:rsidP="005A5089">
      <w:pPr>
        <w:spacing w:line="276" w:lineRule="auto"/>
        <w:rPr>
          <w:lang w:val="en-AU"/>
        </w:rPr>
      </w:pPr>
      <w:r w:rsidRPr="000F2880">
        <w:rPr>
          <w:lang w:val="en-AU"/>
        </w:rPr>
        <w:lastRenderedPageBreak/>
        <w:t xml:space="preserve">Railroads are another widely used source for </w:t>
      </w:r>
      <w:r w:rsidR="00025E27">
        <w:rPr>
          <w:lang w:val="en-AU"/>
        </w:rPr>
        <w:t>late-</w:t>
      </w:r>
      <w:r w:rsidRPr="000F2880">
        <w:rPr>
          <w:lang w:val="en-AU"/>
        </w:rPr>
        <w:t>19</w:t>
      </w:r>
      <w:r w:rsidRPr="000F2880">
        <w:rPr>
          <w:vertAlign w:val="superscript"/>
          <w:lang w:val="en-AU"/>
        </w:rPr>
        <w:t>th</w:t>
      </w:r>
      <w:r w:rsidRPr="000F2880">
        <w:rPr>
          <w:lang w:val="en-AU"/>
        </w:rPr>
        <w:t xml:space="preserve"> and early-20</w:t>
      </w:r>
      <w:r w:rsidRPr="000F2880">
        <w:rPr>
          <w:vertAlign w:val="superscript"/>
          <w:lang w:val="en-AU"/>
        </w:rPr>
        <w:t>th</w:t>
      </w:r>
      <w:r w:rsidRPr="000F2880">
        <w:rPr>
          <w:lang w:val="en-AU"/>
        </w:rPr>
        <w:t xml:space="preserve"> century personnel records. The railroads were, by far, the largest employers </w:t>
      </w:r>
      <w:r w:rsidR="00025E27">
        <w:rPr>
          <w:lang w:val="en-AU"/>
        </w:rPr>
        <w:t>during this period</w:t>
      </w:r>
      <w:r w:rsidRPr="000F2880">
        <w:rPr>
          <w:lang w:val="en-AU"/>
        </w:rPr>
        <w:t>.</w:t>
      </w:r>
      <w:r w:rsidRPr="000F2880">
        <w:rPr>
          <w:rStyle w:val="FootnoteReference"/>
          <w:lang w:val="en-AU"/>
        </w:rPr>
        <w:footnoteReference w:id="4"/>
      </w:r>
      <w:r w:rsidRPr="000F2880">
        <w:rPr>
          <w:lang w:val="en-AU"/>
        </w:rPr>
        <w:t xml:space="preserve"> The scale of their operations necessitated</w:t>
      </w:r>
      <w:r w:rsidR="00A80BA0">
        <w:rPr>
          <w:lang w:val="en-AU"/>
        </w:rPr>
        <w:t xml:space="preserve"> the development of</w:t>
      </w:r>
      <w:r w:rsidRPr="000F2880">
        <w:rPr>
          <w:lang w:val="en-AU"/>
        </w:rPr>
        <w:t xml:space="preserve"> internal labour markets. </w:t>
      </w:r>
      <w:proofErr w:type="spellStart"/>
      <w:r w:rsidRPr="000F2880">
        <w:rPr>
          <w:lang w:val="en-AU"/>
        </w:rPr>
        <w:t>Sammartino</w:t>
      </w:r>
      <w:proofErr w:type="spellEnd"/>
      <w:r w:rsidR="00F25962">
        <w:rPr>
          <w:lang w:val="en-AU"/>
        </w:rPr>
        <w:t xml:space="preserve"> (2002)</w:t>
      </w:r>
      <w:r w:rsidRPr="000F2880">
        <w:rPr>
          <w:lang w:val="en-AU"/>
        </w:rPr>
        <w:t xml:space="preserve"> use</w:t>
      </w:r>
      <w:r w:rsidR="00F25962">
        <w:rPr>
          <w:lang w:val="en-AU"/>
        </w:rPr>
        <w:t>s</w:t>
      </w:r>
      <w:r w:rsidRPr="000F2880">
        <w:rPr>
          <w:lang w:val="en-AU"/>
        </w:rPr>
        <w:t xml:space="preserve"> </w:t>
      </w:r>
      <w:r w:rsidR="00FC59E1">
        <w:rPr>
          <w:lang w:val="en-AU"/>
        </w:rPr>
        <w:t>publically available records from</w:t>
      </w:r>
      <w:r w:rsidRPr="000F2880">
        <w:rPr>
          <w:lang w:val="en-AU"/>
        </w:rPr>
        <w:t xml:space="preserve"> the Victorian Railways </w:t>
      </w:r>
      <w:r w:rsidR="00356048">
        <w:rPr>
          <w:lang w:val="en-AU"/>
        </w:rPr>
        <w:t xml:space="preserve">covering </w:t>
      </w:r>
      <w:r w:rsidR="00356048" w:rsidRPr="000F2880">
        <w:rPr>
          <w:lang w:val="en-AU"/>
        </w:rPr>
        <w:t>the period 1884-1921</w:t>
      </w:r>
      <w:r w:rsidRPr="000F2880">
        <w:rPr>
          <w:lang w:val="en-AU"/>
        </w:rPr>
        <w:t>. The</w:t>
      </w:r>
      <w:r w:rsidR="00356048">
        <w:rPr>
          <w:lang w:val="en-AU"/>
        </w:rPr>
        <w:t>se</w:t>
      </w:r>
      <w:r w:rsidRPr="000F2880">
        <w:rPr>
          <w:lang w:val="en-AU"/>
        </w:rPr>
        <w:t xml:space="preserve"> records were created as a result of a requirement in the 1883 </w:t>
      </w:r>
      <w:r w:rsidRPr="000F2880">
        <w:rPr>
          <w:i/>
          <w:lang w:val="en-AU"/>
        </w:rPr>
        <w:t>Railways Management Bill</w:t>
      </w:r>
      <w:r w:rsidRPr="000F2880">
        <w:rPr>
          <w:lang w:val="en-AU"/>
        </w:rPr>
        <w:t xml:space="preserve"> that the Victorian Railway publish a list of its employees on a triennial basis. </w:t>
      </w:r>
      <w:proofErr w:type="spellStart"/>
      <w:r w:rsidRPr="000F2880">
        <w:rPr>
          <w:lang w:val="en-AU"/>
        </w:rPr>
        <w:t>Sammartino</w:t>
      </w:r>
      <w:proofErr w:type="spellEnd"/>
      <w:r w:rsidRPr="000F2880">
        <w:rPr>
          <w:lang w:val="en-AU"/>
        </w:rPr>
        <w:t xml:space="preserve"> has encoded data for all employees with surnames beginning A, B, or C. </w:t>
      </w:r>
      <w:r w:rsidR="00356048">
        <w:rPr>
          <w:lang w:val="en-AU"/>
        </w:rPr>
        <w:t>These data</w:t>
      </w:r>
      <w:r w:rsidR="00FB2065">
        <w:rPr>
          <w:lang w:val="en-AU"/>
        </w:rPr>
        <w:t>, which contain pay from 1902,</w:t>
      </w:r>
      <w:r w:rsidR="00356048">
        <w:rPr>
          <w:lang w:val="en-AU"/>
        </w:rPr>
        <w:t xml:space="preserve"> are sufficiently rich to examine internal labour markets and the structure of salaries within the larger branches, as well as for the organisation as a whole.</w:t>
      </w:r>
      <w:r w:rsidR="00482BB7">
        <w:rPr>
          <w:lang w:val="en-AU"/>
        </w:rPr>
        <w:t xml:space="preserve"> The data set contains 15,688 observations from about 6,000 staff.</w:t>
      </w:r>
    </w:p>
    <w:p w:rsidR="001553F2" w:rsidRPr="000F2880" w:rsidRDefault="001553F2" w:rsidP="005A5089">
      <w:pPr>
        <w:spacing w:line="276" w:lineRule="auto"/>
        <w:rPr>
          <w:lang w:val="en-AU"/>
        </w:rPr>
      </w:pPr>
    </w:p>
    <w:p w:rsidR="001553F2" w:rsidRPr="000F2880" w:rsidRDefault="00356048" w:rsidP="005A5089">
      <w:pPr>
        <w:spacing w:line="276" w:lineRule="auto"/>
        <w:rPr>
          <w:lang w:val="en-AU"/>
        </w:rPr>
      </w:pPr>
      <w:r>
        <w:rPr>
          <w:lang w:val="en-AU"/>
        </w:rPr>
        <w:t xml:space="preserve">Other studies of personnel practices at the railways have relied on </w:t>
      </w:r>
      <w:r w:rsidR="00FA3F25">
        <w:rPr>
          <w:lang w:val="en-AU"/>
        </w:rPr>
        <w:t xml:space="preserve">firm-level </w:t>
      </w:r>
      <w:r>
        <w:rPr>
          <w:lang w:val="en-AU"/>
        </w:rPr>
        <w:t xml:space="preserve">administrative records, particularly pension files. </w:t>
      </w:r>
      <w:proofErr w:type="spellStart"/>
      <w:r w:rsidR="001553F2" w:rsidRPr="000F2880">
        <w:rPr>
          <w:lang w:val="en-AU"/>
        </w:rPr>
        <w:t>Howlett</w:t>
      </w:r>
      <w:proofErr w:type="spellEnd"/>
      <w:r w:rsidR="001553F2" w:rsidRPr="000F2880">
        <w:rPr>
          <w:lang w:val="en-AU"/>
        </w:rPr>
        <w:t xml:space="preserve"> </w:t>
      </w:r>
      <w:r w:rsidR="00E72216">
        <w:rPr>
          <w:lang w:val="en-AU"/>
        </w:rPr>
        <w:t xml:space="preserve">(2004) uses </w:t>
      </w:r>
      <w:r w:rsidR="001553F2" w:rsidRPr="000F2880">
        <w:rPr>
          <w:lang w:val="en-AU"/>
        </w:rPr>
        <w:t xml:space="preserve">data on long-serving employees in the Traffic Department of the Great Eastern Railway, England. His data </w:t>
      </w:r>
      <w:r w:rsidR="00FB2065">
        <w:rPr>
          <w:lang w:val="en-AU"/>
        </w:rPr>
        <w:t>cover</w:t>
      </w:r>
      <w:r w:rsidR="001553F2" w:rsidRPr="000F2880">
        <w:rPr>
          <w:lang w:val="en-AU"/>
        </w:rPr>
        <w:t xml:space="preserve"> the entire careers of 848 staff present in 1880 and remain</w:t>
      </w:r>
      <w:r w:rsidR="00B02640">
        <w:rPr>
          <w:lang w:val="en-AU"/>
        </w:rPr>
        <w:t>ing</w:t>
      </w:r>
      <w:r w:rsidR="001553F2" w:rsidRPr="000F2880">
        <w:rPr>
          <w:lang w:val="en-AU"/>
        </w:rPr>
        <w:t xml:space="preserve"> until at least 1906. MacKinnon </w:t>
      </w:r>
      <w:r w:rsidR="00E72216">
        <w:rPr>
          <w:lang w:val="en-AU"/>
        </w:rPr>
        <w:t xml:space="preserve">(1996) </w:t>
      </w:r>
      <w:r w:rsidR="001553F2" w:rsidRPr="000F2880">
        <w:rPr>
          <w:lang w:val="en-AU"/>
        </w:rPr>
        <w:t>construct</w:t>
      </w:r>
      <w:r w:rsidR="00E72216">
        <w:rPr>
          <w:lang w:val="en-AU"/>
        </w:rPr>
        <w:t>s</w:t>
      </w:r>
      <w:r w:rsidR="001553F2" w:rsidRPr="000F2880">
        <w:rPr>
          <w:lang w:val="en-AU"/>
        </w:rPr>
        <w:t xml:space="preserve"> a database using the pension files of the Canada Pacific Railways. The </w:t>
      </w:r>
      <w:r w:rsidR="00DB33D6">
        <w:rPr>
          <w:lang w:val="en-AU"/>
        </w:rPr>
        <w:t xml:space="preserve">database contains </w:t>
      </w:r>
      <w:r w:rsidR="001553F2" w:rsidRPr="000F2880">
        <w:rPr>
          <w:lang w:val="en-AU"/>
        </w:rPr>
        <w:t>entire-career information for about 9</w:t>
      </w:r>
      <w:r w:rsidR="00F51D43">
        <w:rPr>
          <w:lang w:val="en-AU"/>
        </w:rPr>
        <w:t>,</w:t>
      </w:r>
      <w:r w:rsidR="001553F2" w:rsidRPr="000F2880">
        <w:rPr>
          <w:lang w:val="en-AU"/>
        </w:rPr>
        <w:t xml:space="preserve">000 staff present in 1903. </w:t>
      </w:r>
    </w:p>
    <w:p w:rsidR="001553F2" w:rsidRPr="000F2880" w:rsidRDefault="001553F2" w:rsidP="005A5089">
      <w:pPr>
        <w:spacing w:line="276" w:lineRule="auto"/>
        <w:rPr>
          <w:lang w:val="en-AU"/>
        </w:rPr>
      </w:pPr>
    </w:p>
    <w:p w:rsidR="001553F2" w:rsidRDefault="00321E14" w:rsidP="005A5089">
      <w:pPr>
        <w:spacing w:line="276" w:lineRule="auto"/>
        <w:rPr>
          <w:lang w:val="en-AU"/>
        </w:rPr>
      </w:pPr>
      <w:r>
        <w:rPr>
          <w:lang w:val="en-AU"/>
        </w:rPr>
        <w:t xml:space="preserve">There are fewer examples of surviving personnel records for manufacturing firms. </w:t>
      </w:r>
      <w:proofErr w:type="spellStart"/>
      <w:r w:rsidR="001553F2" w:rsidRPr="000F2880">
        <w:rPr>
          <w:lang w:val="en-AU"/>
        </w:rPr>
        <w:t>Stanfors</w:t>
      </w:r>
      <w:proofErr w:type="spellEnd"/>
      <w:r w:rsidR="001553F2" w:rsidRPr="000F2880">
        <w:rPr>
          <w:lang w:val="en-AU"/>
        </w:rPr>
        <w:t xml:space="preserve"> </w:t>
      </w:r>
      <w:r w:rsidR="00205FA6">
        <w:rPr>
          <w:lang w:val="en-AU"/>
        </w:rPr>
        <w:t>et al. (2013)</w:t>
      </w:r>
      <w:r w:rsidR="001553F2" w:rsidRPr="000F2880">
        <w:rPr>
          <w:lang w:val="en-AU"/>
        </w:rPr>
        <w:t xml:space="preserve"> </w:t>
      </w:r>
      <w:r w:rsidR="00E72216">
        <w:rPr>
          <w:lang w:val="en-AU"/>
        </w:rPr>
        <w:t xml:space="preserve">use </w:t>
      </w:r>
      <w:r w:rsidR="001553F2" w:rsidRPr="000F2880">
        <w:rPr>
          <w:lang w:val="en-AU"/>
        </w:rPr>
        <w:t xml:space="preserve">data from </w:t>
      </w:r>
      <w:r w:rsidR="00DB33D6">
        <w:rPr>
          <w:lang w:val="en-AU"/>
        </w:rPr>
        <w:t xml:space="preserve">the </w:t>
      </w:r>
      <w:r w:rsidR="001553F2" w:rsidRPr="000F2880">
        <w:rPr>
          <w:lang w:val="en-AU"/>
        </w:rPr>
        <w:t>Swedish tobacco industry</w:t>
      </w:r>
      <w:r w:rsidR="00E72216">
        <w:rPr>
          <w:lang w:val="en-AU"/>
        </w:rPr>
        <w:t>.</w:t>
      </w:r>
      <w:r w:rsidR="001553F2" w:rsidRPr="000F2880">
        <w:rPr>
          <w:lang w:val="en-AU"/>
        </w:rPr>
        <w:t xml:space="preserve"> </w:t>
      </w:r>
      <w:r>
        <w:rPr>
          <w:lang w:val="en-AU"/>
        </w:rPr>
        <w:t>The data</w:t>
      </w:r>
      <w:r w:rsidR="004C6457">
        <w:rPr>
          <w:lang w:val="en-AU"/>
        </w:rPr>
        <w:t>, which</w:t>
      </w:r>
      <w:r>
        <w:rPr>
          <w:lang w:val="en-AU"/>
        </w:rPr>
        <w:t xml:space="preserve"> </w:t>
      </w:r>
      <w:r w:rsidR="001553F2" w:rsidRPr="000F2880">
        <w:rPr>
          <w:lang w:val="en-AU"/>
        </w:rPr>
        <w:t xml:space="preserve">are drawn from an 1898 survey run by the Swedish Board of Commerce </w:t>
      </w:r>
      <w:r w:rsidR="004C6457">
        <w:rPr>
          <w:lang w:val="en-AU"/>
        </w:rPr>
        <w:t xml:space="preserve">covering the entire industry, </w:t>
      </w:r>
      <w:r w:rsidR="001553F2" w:rsidRPr="000F2880">
        <w:rPr>
          <w:lang w:val="en-AU"/>
        </w:rPr>
        <w:t xml:space="preserve">contain similar information to personnel records and can be linked to </w:t>
      </w:r>
      <w:r w:rsidR="00356048">
        <w:rPr>
          <w:lang w:val="en-AU"/>
        </w:rPr>
        <w:t xml:space="preserve">additional survey </w:t>
      </w:r>
      <w:r w:rsidR="00F51D43">
        <w:rPr>
          <w:lang w:val="en-AU"/>
        </w:rPr>
        <w:t>data covering their employer</w:t>
      </w:r>
      <w:r w:rsidR="001553F2" w:rsidRPr="000F2880">
        <w:rPr>
          <w:lang w:val="en-AU"/>
        </w:rPr>
        <w:t>s</w:t>
      </w:r>
      <w:r w:rsidR="00F51D43">
        <w:rPr>
          <w:lang w:val="en-AU"/>
        </w:rPr>
        <w:t>’</w:t>
      </w:r>
      <w:r w:rsidR="001553F2" w:rsidRPr="000F2880">
        <w:rPr>
          <w:lang w:val="en-AU"/>
        </w:rPr>
        <w:t xml:space="preserve"> characteristics. </w:t>
      </w:r>
      <w:r w:rsidR="00E72216">
        <w:rPr>
          <w:lang w:val="en-AU"/>
        </w:rPr>
        <w:t xml:space="preserve">Maloney and Whatley (1995) and Foote, </w:t>
      </w:r>
      <w:proofErr w:type="spellStart"/>
      <w:r w:rsidR="00E72216">
        <w:rPr>
          <w:lang w:val="en-AU"/>
        </w:rPr>
        <w:t>Whately</w:t>
      </w:r>
      <w:proofErr w:type="spellEnd"/>
      <w:r w:rsidR="00E72216">
        <w:rPr>
          <w:lang w:val="en-AU"/>
        </w:rPr>
        <w:t xml:space="preserve"> and Wright (2003) use </w:t>
      </w:r>
      <w:r w:rsidR="001B329E">
        <w:rPr>
          <w:lang w:val="en-AU"/>
        </w:rPr>
        <w:t xml:space="preserve">data from 4,144 workers at Ford Motors between 1918 and 1947. An interesting feature of this data is that it contains both black and </w:t>
      </w:r>
      <w:r w:rsidR="00EC1BF8">
        <w:rPr>
          <w:lang w:val="en-AU"/>
        </w:rPr>
        <w:t xml:space="preserve">white </w:t>
      </w:r>
      <w:r w:rsidR="001B329E">
        <w:rPr>
          <w:lang w:val="en-AU"/>
        </w:rPr>
        <w:t>workers, and thus the authors are able to examine the nature and extent of labour market discrimination during the time of legalised segregation.</w:t>
      </w:r>
      <w:r w:rsidR="00E72216">
        <w:rPr>
          <w:lang w:val="en-AU"/>
        </w:rPr>
        <w:t xml:space="preserve"> </w:t>
      </w:r>
      <w:r w:rsidR="00086366">
        <w:rPr>
          <w:lang w:val="en-AU"/>
        </w:rPr>
        <w:t>There have been very few studies of historical</w:t>
      </w:r>
      <w:r w:rsidR="001553F2">
        <w:rPr>
          <w:lang w:val="en-AU"/>
        </w:rPr>
        <w:t xml:space="preserve"> Australian manufacturing firm</w:t>
      </w:r>
      <w:r w:rsidR="00086366">
        <w:rPr>
          <w:lang w:val="en-AU"/>
        </w:rPr>
        <w:t>s. Perhaps the most comprehensive</w:t>
      </w:r>
      <w:r w:rsidR="001553F2">
        <w:rPr>
          <w:lang w:val="en-AU"/>
        </w:rPr>
        <w:t xml:space="preserve"> personnel records </w:t>
      </w:r>
      <w:r w:rsidR="00086366">
        <w:rPr>
          <w:lang w:val="en-AU"/>
        </w:rPr>
        <w:t xml:space="preserve">which </w:t>
      </w:r>
      <w:r w:rsidR="001553F2">
        <w:rPr>
          <w:lang w:val="en-AU"/>
        </w:rPr>
        <w:t xml:space="preserve">have been encoded </w:t>
      </w:r>
      <w:r w:rsidR="00086366">
        <w:rPr>
          <w:lang w:val="en-AU"/>
        </w:rPr>
        <w:t xml:space="preserve">are from </w:t>
      </w:r>
      <w:r w:rsidR="001553F2">
        <w:rPr>
          <w:lang w:val="en-AU"/>
        </w:rPr>
        <w:t xml:space="preserve">Guest Biscuit. Fahey and </w:t>
      </w:r>
      <w:proofErr w:type="spellStart"/>
      <w:r w:rsidR="001553F2">
        <w:rPr>
          <w:lang w:val="en-AU"/>
        </w:rPr>
        <w:t>Sammartino</w:t>
      </w:r>
      <w:proofErr w:type="spellEnd"/>
      <w:r w:rsidR="001553F2">
        <w:rPr>
          <w:lang w:val="en-AU"/>
        </w:rPr>
        <w:t xml:space="preserve"> (2013) examine Guest’s wage books between 1870 and 1921, which cover 1,634 employees. </w:t>
      </w:r>
    </w:p>
    <w:p w:rsidR="00086366" w:rsidRDefault="00086366" w:rsidP="005A5089">
      <w:pPr>
        <w:spacing w:line="276" w:lineRule="auto"/>
        <w:rPr>
          <w:lang w:val="en-AU"/>
        </w:rPr>
      </w:pPr>
    </w:p>
    <w:p w:rsidR="00086366" w:rsidRPr="000F2880" w:rsidRDefault="00086366" w:rsidP="005A5089">
      <w:pPr>
        <w:spacing w:line="276" w:lineRule="auto"/>
        <w:rPr>
          <w:lang w:val="en-AU"/>
        </w:rPr>
      </w:pPr>
      <w:r>
        <w:rPr>
          <w:lang w:val="en-AU"/>
        </w:rPr>
        <w:t>A general conclusion of the historical literature has been that large companies have long maintained sophisticated internal labour</w:t>
      </w:r>
      <w:r w:rsidR="001D3D2E">
        <w:rPr>
          <w:lang w:val="en-AU"/>
        </w:rPr>
        <w:t xml:space="preserve"> markets, similar to those of</w:t>
      </w:r>
      <w:r>
        <w:rPr>
          <w:lang w:val="en-AU"/>
        </w:rPr>
        <w:t xml:space="preserve"> modern companies. The firms which have been studied generally contained </w:t>
      </w:r>
      <w:r w:rsidR="001D3D2E">
        <w:rPr>
          <w:lang w:val="en-AU"/>
        </w:rPr>
        <w:t xml:space="preserve">long-term employment, </w:t>
      </w:r>
      <w:r>
        <w:rPr>
          <w:lang w:val="en-AU"/>
        </w:rPr>
        <w:t xml:space="preserve">well-defined career structures with internal promotion </w:t>
      </w:r>
      <w:r w:rsidR="001D3D2E">
        <w:rPr>
          <w:lang w:val="en-AU"/>
        </w:rPr>
        <w:t>and tenure based wages. However, we need to be cautious about broader inferences for today’s labour market that can be derived from historical data, as the surviving historical records do not contain any</w:t>
      </w:r>
      <w:r w:rsidR="00205FA6">
        <w:rPr>
          <w:lang w:val="en-AU"/>
        </w:rPr>
        <w:t>thing</w:t>
      </w:r>
      <w:r w:rsidR="001D3D2E">
        <w:rPr>
          <w:lang w:val="en-AU"/>
        </w:rPr>
        <w:t xml:space="preserve"> like a random sample of employees from the time.</w:t>
      </w:r>
    </w:p>
    <w:p w:rsidR="001553F2" w:rsidRPr="000F2880" w:rsidRDefault="001553F2" w:rsidP="005A5089">
      <w:pPr>
        <w:spacing w:line="276" w:lineRule="auto"/>
        <w:rPr>
          <w:lang w:val="en-AU"/>
        </w:rPr>
      </w:pPr>
    </w:p>
    <w:p w:rsidR="00ED1F6B" w:rsidRPr="000F2880" w:rsidRDefault="00ED1F6B" w:rsidP="005A5089">
      <w:pPr>
        <w:spacing w:line="276" w:lineRule="auto"/>
        <w:rPr>
          <w:lang w:val="en-AU"/>
        </w:rPr>
      </w:pPr>
    </w:p>
    <w:p w:rsidR="004F4F01" w:rsidRPr="00DA7FAD" w:rsidRDefault="00DA7FAD" w:rsidP="005A5089">
      <w:pPr>
        <w:spacing w:line="276" w:lineRule="auto"/>
        <w:rPr>
          <w:b/>
          <w:lang w:val="en-AU"/>
        </w:rPr>
      </w:pPr>
      <w:r>
        <w:rPr>
          <w:b/>
          <w:lang w:val="en-AU"/>
        </w:rPr>
        <w:lastRenderedPageBreak/>
        <w:t>4</w:t>
      </w:r>
      <w:r w:rsidR="00C8448E" w:rsidRPr="00C8448E">
        <w:rPr>
          <w:b/>
          <w:lang w:val="en-AU"/>
        </w:rPr>
        <w:t>. Contemporary Firm-Level Records</w:t>
      </w:r>
    </w:p>
    <w:p w:rsidR="004F4F01" w:rsidRPr="000F2880" w:rsidRDefault="004F4F01" w:rsidP="005A5089">
      <w:pPr>
        <w:spacing w:line="276" w:lineRule="auto"/>
        <w:rPr>
          <w:lang w:val="en-AU"/>
        </w:rPr>
      </w:pPr>
    </w:p>
    <w:p w:rsidR="007227E0" w:rsidRDefault="000D1650" w:rsidP="005A5089">
      <w:pPr>
        <w:spacing w:line="276" w:lineRule="auto"/>
        <w:rPr>
          <w:lang w:val="en-AU"/>
        </w:rPr>
      </w:pPr>
      <w:r>
        <w:rPr>
          <w:lang w:val="en-AU"/>
        </w:rPr>
        <w:t>R</w:t>
      </w:r>
      <w:r w:rsidR="004F4F01" w:rsidRPr="000F2880">
        <w:rPr>
          <w:lang w:val="en-AU"/>
        </w:rPr>
        <w:t xml:space="preserve">esearchers have used contemporary </w:t>
      </w:r>
      <w:r w:rsidR="00931196" w:rsidRPr="000F2880">
        <w:rPr>
          <w:lang w:val="en-AU"/>
        </w:rPr>
        <w:t xml:space="preserve">personnel </w:t>
      </w:r>
      <w:r w:rsidR="004F4F01" w:rsidRPr="000F2880">
        <w:rPr>
          <w:lang w:val="en-AU"/>
        </w:rPr>
        <w:t xml:space="preserve">data in two different ways. First, </w:t>
      </w:r>
      <w:r w:rsidR="001E2ACF" w:rsidRPr="000F2880">
        <w:rPr>
          <w:lang w:val="en-AU"/>
        </w:rPr>
        <w:t>scholars have studied whether incentives motivate workers</w:t>
      </w:r>
      <w:r w:rsidR="001A4BBD" w:rsidRPr="000F2880">
        <w:rPr>
          <w:lang w:val="en-AU"/>
        </w:rPr>
        <w:t xml:space="preserve"> in the short-run</w:t>
      </w:r>
      <w:r w:rsidR="001E2ACF" w:rsidRPr="000F2880">
        <w:rPr>
          <w:lang w:val="en-AU"/>
        </w:rPr>
        <w:t xml:space="preserve">. </w:t>
      </w:r>
      <w:r>
        <w:rPr>
          <w:lang w:val="en-AU"/>
        </w:rPr>
        <w:t>These s</w:t>
      </w:r>
      <w:r w:rsidRPr="000F2880">
        <w:rPr>
          <w:lang w:val="en-AU"/>
        </w:rPr>
        <w:t xml:space="preserve">tudies </w:t>
      </w:r>
      <w:r>
        <w:rPr>
          <w:lang w:val="en-AU"/>
        </w:rPr>
        <w:t>often employ an</w:t>
      </w:r>
      <w:r w:rsidR="00D626A8">
        <w:rPr>
          <w:lang w:val="en-AU"/>
        </w:rPr>
        <w:t xml:space="preserve"> </w:t>
      </w:r>
      <w:r w:rsidR="00D36B11">
        <w:rPr>
          <w:lang w:val="en-AU"/>
        </w:rPr>
        <w:t xml:space="preserve">experimental methodology </w:t>
      </w:r>
      <w:r w:rsidR="00D626A8">
        <w:rPr>
          <w:lang w:val="en-AU"/>
        </w:rPr>
        <w:t xml:space="preserve">to </w:t>
      </w:r>
      <w:r w:rsidR="009F51BE" w:rsidRPr="000F2880">
        <w:rPr>
          <w:lang w:val="en-AU"/>
        </w:rPr>
        <w:t xml:space="preserve">examine </w:t>
      </w:r>
      <w:r w:rsidR="00CE4BB3">
        <w:rPr>
          <w:lang w:val="en-AU"/>
        </w:rPr>
        <w:t xml:space="preserve">the causal effect of a </w:t>
      </w:r>
      <w:r w:rsidR="001E2ACF" w:rsidRPr="000F2880">
        <w:rPr>
          <w:lang w:val="en-AU"/>
        </w:rPr>
        <w:t xml:space="preserve">change in the </w:t>
      </w:r>
      <w:r w:rsidR="009F51BE" w:rsidRPr="000F2880">
        <w:rPr>
          <w:lang w:val="en-AU"/>
        </w:rPr>
        <w:t>nature</w:t>
      </w:r>
      <w:r w:rsidR="001E2ACF" w:rsidRPr="000F2880">
        <w:rPr>
          <w:lang w:val="en-AU"/>
        </w:rPr>
        <w:t xml:space="preserve"> of compensation</w:t>
      </w:r>
      <w:r w:rsidR="00CE4BB3">
        <w:rPr>
          <w:lang w:val="en-AU"/>
        </w:rPr>
        <w:t xml:space="preserve"> o</w:t>
      </w:r>
      <w:r w:rsidR="009F51BE" w:rsidRPr="000F2880">
        <w:rPr>
          <w:lang w:val="en-AU"/>
        </w:rPr>
        <w:t>n worker</w:t>
      </w:r>
      <w:r w:rsidR="0087444E" w:rsidRPr="000F2880">
        <w:rPr>
          <w:lang w:val="en-AU"/>
        </w:rPr>
        <w:t>s’</w:t>
      </w:r>
      <w:r w:rsidR="009F51BE" w:rsidRPr="000F2880">
        <w:rPr>
          <w:lang w:val="en-AU"/>
        </w:rPr>
        <w:t xml:space="preserve"> </w:t>
      </w:r>
      <w:r w:rsidR="00CE4BB3">
        <w:rPr>
          <w:lang w:val="en-AU"/>
        </w:rPr>
        <w:t xml:space="preserve">productivity or </w:t>
      </w:r>
      <w:r w:rsidR="009F51BE" w:rsidRPr="000F2880">
        <w:rPr>
          <w:lang w:val="en-AU"/>
        </w:rPr>
        <w:t xml:space="preserve">selection </w:t>
      </w:r>
      <w:r w:rsidR="009F5F55">
        <w:rPr>
          <w:lang w:val="en-AU"/>
        </w:rPr>
        <w:t>into or out of a</w:t>
      </w:r>
      <w:r w:rsidR="0087444E" w:rsidRPr="000F2880">
        <w:rPr>
          <w:lang w:val="en-AU"/>
        </w:rPr>
        <w:t xml:space="preserve"> firm</w:t>
      </w:r>
      <w:r w:rsidR="001E2ACF" w:rsidRPr="000F2880">
        <w:rPr>
          <w:lang w:val="en-AU"/>
        </w:rPr>
        <w:t xml:space="preserve">. </w:t>
      </w:r>
      <w:r w:rsidR="00C453C3">
        <w:rPr>
          <w:lang w:val="en-AU"/>
        </w:rPr>
        <w:t xml:space="preserve">See </w:t>
      </w:r>
      <w:proofErr w:type="spellStart"/>
      <w:r w:rsidR="00790C68" w:rsidRPr="000F2880">
        <w:rPr>
          <w:lang w:val="en-AU"/>
        </w:rPr>
        <w:t>Band</w:t>
      </w:r>
      <w:r w:rsidR="00D2092C" w:rsidRPr="000F2880">
        <w:rPr>
          <w:lang w:val="en-AU"/>
        </w:rPr>
        <w:t>iera</w:t>
      </w:r>
      <w:proofErr w:type="spellEnd"/>
      <w:r w:rsidR="00D2092C" w:rsidRPr="000F2880">
        <w:rPr>
          <w:lang w:val="en-AU"/>
        </w:rPr>
        <w:t xml:space="preserve">, </w:t>
      </w:r>
      <w:proofErr w:type="spellStart"/>
      <w:r w:rsidR="00D2092C" w:rsidRPr="000F2880">
        <w:rPr>
          <w:lang w:val="en-AU"/>
        </w:rPr>
        <w:t>Barankay</w:t>
      </w:r>
      <w:proofErr w:type="spellEnd"/>
      <w:r w:rsidR="00D2092C" w:rsidRPr="000F2880">
        <w:rPr>
          <w:lang w:val="en-AU"/>
        </w:rPr>
        <w:t xml:space="preserve"> and </w:t>
      </w:r>
      <w:proofErr w:type="spellStart"/>
      <w:r w:rsidR="00D2092C" w:rsidRPr="000F2880">
        <w:rPr>
          <w:lang w:val="en-AU"/>
        </w:rPr>
        <w:t>Rasul</w:t>
      </w:r>
      <w:proofErr w:type="spellEnd"/>
      <w:r w:rsidR="00D2092C" w:rsidRPr="000F2880">
        <w:rPr>
          <w:lang w:val="en-AU"/>
        </w:rPr>
        <w:t xml:space="preserve"> (2011</w:t>
      </w:r>
      <w:r w:rsidR="00790C68" w:rsidRPr="000F2880">
        <w:rPr>
          <w:lang w:val="en-AU"/>
        </w:rPr>
        <w:t>)</w:t>
      </w:r>
      <w:r w:rsidR="00C453C3">
        <w:rPr>
          <w:lang w:val="en-AU"/>
        </w:rPr>
        <w:t xml:space="preserve"> for a comprehensive survey of this literature</w:t>
      </w:r>
      <w:r w:rsidR="00790C68" w:rsidRPr="000F2880">
        <w:rPr>
          <w:lang w:val="en-AU"/>
        </w:rPr>
        <w:t>.</w:t>
      </w:r>
      <w:r w:rsidR="00DC4A07" w:rsidRPr="000F2880">
        <w:rPr>
          <w:lang w:val="en-AU"/>
        </w:rPr>
        <w:t xml:space="preserve"> </w:t>
      </w:r>
      <w:r w:rsidR="00D71A10" w:rsidRPr="000F2880">
        <w:rPr>
          <w:lang w:val="en-AU"/>
        </w:rPr>
        <w:t>A</w:t>
      </w:r>
      <w:r w:rsidR="001A4BBD" w:rsidRPr="000F2880">
        <w:rPr>
          <w:lang w:val="en-AU"/>
        </w:rPr>
        <w:t xml:space="preserve"> second major research agenda examines the nature of internal labour markets in larger firms. </w:t>
      </w:r>
      <w:r w:rsidR="007227E0">
        <w:rPr>
          <w:lang w:val="en-AU"/>
        </w:rPr>
        <w:t>I</w:t>
      </w:r>
      <w:r w:rsidR="007227E0" w:rsidRPr="000F2880">
        <w:rPr>
          <w:lang w:val="en-AU"/>
        </w:rPr>
        <w:t xml:space="preserve">t is well-known that short-term pay for performance </w:t>
      </w:r>
      <w:r w:rsidR="007227E0">
        <w:rPr>
          <w:lang w:val="en-AU"/>
        </w:rPr>
        <w:t xml:space="preserve">can often create </w:t>
      </w:r>
      <w:r w:rsidR="007227E0" w:rsidRPr="000F2880">
        <w:rPr>
          <w:lang w:val="en-AU"/>
        </w:rPr>
        <w:t>perverse incentives</w:t>
      </w:r>
      <w:r w:rsidR="007227E0">
        <w:rPr>
          <w:lang w:val="en-AU"/>
        </w:rPr>
        <w:t xml:space="preserve"> where workers have even moderately complex tasks</w:t>
      </w:r>
      <w:r w:rsidR="007227E0" w:rsidRPr="000F2880">
        <w:rPr>
          <w:lang w:val="en-AU"/>
        </w:rPr>
        <w:t xml:space="preserve">, and thus the majority of workers </w:t>
      </w:r>
      <w:r w:rsidR="007227E0">
        <w:rPr>
          <w:lang w:val="en-AU"/>
        </w:rPr>
        <w:t xml:space="preserve">in larger firms </w:t>
      </w:r>
      <w:r w:rsidR="007227E0" w:rsidRPr="000F2880">
        <w:rPr>
          <w:lang w:val="en-AU"/>
        </w:rPr>
        <w:t>are paid hourly rates or annual salaries</w:t>
      </w:r>
      <w:r w:rsidR="00E72216">
        <w:rPr>
          <w:lang w:val="en-AU"/>
        </w:rPr>
        <w:t>. See</w:t>
      </w:r>
      <w:r w:rsidR="007227E0" w:rsidRPr="000F2880">
        <w:rPr>
          <w:lang w:val="en-AU"/>
        </w:rPr>
        <w:t xml:space="preserve"> </w:t>
      </w:r>
      <w:proofErr w:type="spellStart"/>
      <w:r w:rsidR="007227E0" w:rsidRPr="000F2880">
        <w:rPr>
          <w:lang w:val="en-AU"/>
        </w:rPr>
        <w:t>Pendergast</w:t>
      </w:r>
      <w:proofErr w:type="spellEnd"/>
      <w:r w:rsidR="007227E0" w:rsidRPr="000F2880">
        <w:rPr>
          <w:lang w:val="en-AU"/>
        </w:rPr>
        <w:t xml:space="preserve"> </w:t>
      </w:r>
      <w:r w:rsidR="00E72216">
        <w:rPr>
          <w:lang w:val="en-AU"/>
        </w:rPr>
        <w:t>(</w:t>
      </w:r>
      <w:r w:rsidR="007227E0" w:rsidRPr="000F2880">
        <w:rPr>
          <w:lang w:val="en-AU"/>
        </w:rPr>
        <w:t xml:space="preserve">1999). </w:t>
      </w:r>
      <w:r w:rsidR="007227E0">
        <w:rPr>
          <w:lang w:val="en-AU"/>
        </w:rPr>
        <w:t>Th</w:t>
      </w:r>
      <w:r w:rsidR="005F1918" w:rsidRPr="000F2880">
        <w:rPr>
          <w:lang w:val="en-AU"/>
        </w:rPr>
        <w:t xml:space="preserve">is literature </w:t>
      </w:r>
      <w:r w:rsidR="00931196" w:rsidRPr="000F2880">
        <w:rPr>
          <w:lang w:val="en-AU"/>
        </w:rPr>
        <w:t xml:space="preserve">has </w:t>
      </w:r>
      <w:r w:rsidR="00D71A10" w:rsidRPr="000F2880">
        <w:rPr>
          <w:lang w:val="en-AU"/>
        </w:rPr>
        <w:t xml:space="preserve">used </w:t>
      </w:r>
      <w:r w:rsidR="001A4BBD" w:rsidRPr="000F2880">
        <w:rPr>
          <w:lang w:val="en-AU"/>
        </w:rPr>
        <w:t xml:space="preserve">the employment records of </w:t>
      </w:r>
      <w:r w:rsidR="00931196" w:rsidRPr="000F2880">
        <w:rPr>
          <w:lang w:val="en-AU"/>
        </w:rPr>
        <w:t xml:space="preserve">workers at specific </w:t>
      </w:r>
      <w:r w:rsidR="001A4BBD" w:rsidRPr="000F2880">
        <w:rPr>
          <w:lang w:val="en-AU"/>
        </w:rPr>
        <w:t xml:space="preserve">companies to </w:t>
      </w:r>
      <w:r w:rsidR="009E0658" w:rsidRPr="000F2880">
        <w:rPr>
          <w:lang w:val="en-AU"/>
        </w:rPr>
        <w:t>examine</w:t>
      </w:r>
      <w:r w:rsidR="001A4BBD" w:rsidRPr="000F2880">
        <w:rPr>
          <w:lang w:val="en-AU"/>
        </w:rPr>
        <w:t xml:space="preserve"> the nature of job assignment, promotion and compensation. </w:t>
      </w:r>
      <w:r w:rsidR="00C03372" w:rsidRPr="000F2880">
        <w:rPr>
          <w:lang w:val="en-AU"/>
        </w:rPr>
        <w:t xml:space="preserve">The </w:t>
      </w:r>
      <w:r w:rsidR="0006441E">
        <w:rPr>
          <w:lang w:val="en-AU"/>
        </w:rPr>
        <w:t>empirical work in this literature h</w:t>
      </w:r>
      <w:r w:rsidR="00B74985">
        <w:rPr>
          <w:lang w:val="en-AU"/>
        </w:rPr>
        <w:t>as been largely descriptive and</w:t>
      </w:r>
      <w:r w:rsidR="0006441E">
        <w:rPr>
          <w:lang w:val="en-AU"/>
        </w:rPr>
        <w:t xml:space="preserve"> the </w:t>
      </w:r>
      <w:r w:rsidR="00C03372" w:rsidRPr="000F2880">
        <w:rPr>
          <w:lang w:val="en-AU"/>
        </w:rPr>
        <w:t xml:space="preserve">incentives created by the practices </w:t>
      </w:r>
      <w:r w:rsidR="0006441E">
        <w:rPr>
          <w:lang w:val="en-AU"/>
        </w:rPr>
        <w:t xml:space="preserve">identified in the data </w:t>
      </w:r>
      <w:r w:rsidR="00C03372" w:rsidRPr="000F2880">
        <w:rPr>
          <w:lang w:val="en-AU"/>
        </w:rPr>
        <w:t xml:space="preserve">have largely been explained by economic theory, rather than </w:t>
      </w:r>
      <w:r w:rsidR="0006441E">
        <w:rPr>
          <w:lang w:val="en-AU"/>
        </w:rPr>
        <w:t xml:space="preserve">by </w:t>
      </w:r>
      <w:r w:rsidR="00C03372" w:rsidRPr="000F2880">
        <w:rPr>
          <w:lang w:val="en-AU"/>
        </w:rPr>
        <w:t xml:space="preserve">direct tests on the data. </w:t>
      </w:r>
    </w:p>
    <w:p w:rsidR="007227E0" w:rsidRDefault="007227E0" w:rsidP="005A5089">
      <w:pPr>
        <w:spacing w:line="276" w:lineRule="auto"/>
        <w:rPr>
          <w:lang w:val="en-AU"/>
        </w:rPr>
      </w:pPr>
    </w:p>
    <w:p w:rsidR="007227E0" w:rsidRPr="007227E0" w:rsidRDefault="00DA7FAD" w:rsidP="005A5089">
      <w:pPr>
        <w:spacing w:line="276" w:lineRule="auto"/>
        <w:rPr>
          <w:i/>
          <w:lang w:val="en-AU"/>
        </w:rPr>
      </w:pPr>
      <w:r>
        <w:rPr>
          <w:i/>
          <w:lang w:val="en-AU"/>
        </w:rPr>
        <w:t>4.1</w:t>
      </w:r>
      <w:r w:rsidR="007227E0" w:rsidRPr="007227E0">
        <w:rPr>
          <w:i/>
          <w:lang w:val="en-AU"/>
        </w:rPr>
        <w:t xml:space="preserve"> Short-</w:t>
      </w:r>
      <w:r w:rsidR="00B02640">
        <w:rPr>
          <w:i/>
          <w:lang w:val="en-AU"/>
        </w:rPr>
        <w:t>T</w:t>
      </w:r>
      <w:r w:rsidR="007227E0" w:rsidRPr="007227E0">
        <w:rPr>
          <w:i/>
          <w:lang w:val="en-AU"/>
        </w:rPr>
        <w:t>erm Incentives</w:t>
      </w:r>
    </w:p>
    <w:p w:rsidR="007227E0" w:rsidRPr="000F2880" w:rsidRDefault="007227E0" w:rsidP="005A5089">
      <w:pPr>
        <w:spacing w:line="276" w:lineRule="auto"/>
        <w:rPr>
          <w:lang w:val="en-AU"/>
        </w:rPr>
      </w:pPr>
    </w:p>
    <w:p w:rsidR="009E0658" w:rsidRPr="000F2880" w:rsidRDefault="00EE4BDB" w:rsidP="005A5089">
      <w:pPr>
        <w:spacing w:line="276" w:lineRule="auto"/>
        <w:rPr>
          <w:lang w:val="en-AU"/>
        </w:rPr>
      </w:pPr>
      <w:proofErr w:type="spellStart"/>
      <w:r w:rsidRPr="000F2880">
        <w:rPr>
          <w:lang w:val="en-AU"/>
        </w:rPr>
        <w:t>Lazear</w:t>
      </w:r>
      <w:proofErr w:type="spellEnd"/>
      <w:r w:rsidRPr="000F2880">
        <w:rPr>
          <w:lang w:val="en-AU"/>
        </w:rPr>
        <w:t xml:space="preserve"> (2000) uses records from </w:t>
      </w:r>
      <w:proofErr w:type="spellStart"/>
      <w:r w:rsidRPr="000F2880">
        <w:rPr>
          <w:lang w:val="en-AU"/>
        </w:rPr>
        <w:t>Safelite</w:t>
      </w:r>
      <w:proofErr w:type="spellEnd"/>
      <w:r w:rsidRPr="000F2880">
        <w:rPr>
          <w:lang w:val="en-AU"/>
        </w:rPr>
        <w:t xml:space="preserve">, an American company that replaces broken windscreens, to determine the effects of </w:t>
      </w:r>
      <w:r w:rsidR="00D864F6" w:rsidRPr="000F2880">
        <w:rPr>
          <w:lang w:val="en-AU"/>
        </w:rPr>
        <w:t xml:space="preserve">a </w:t>
      </w:r>
      <w:r w:rsidRPr="000F2880">
        <w:rPr>
          <w:lang w:val="en-AU"/>
        </w:rPr>
        <w:t xml:space="preserve">change </w:t>
      </w:r>
      <w:r w:rsidR="00673862" w:rsidRPr="000F2880">
        <w:rPr>
          <w:lang w:val="en-AU"/>
        </w:rPr>
        <w:t xml:space="preserve">from fixed wages to </w:t>
      </w:r>
      <w:r w:rsidRPr="000F2880">
        <w:rPr>
          <w:lang w:val="en-AU"/>
        </w:rPr>
        <w:t>a piece rate plus guaranteed minimum pay scheme. The data in this study</w:t>
      </w:r>
      <w:r w:rsidR="00D864F6" w:rsidRPr="000F2880">
        <w:rPr>
          <w:lang w:val="en-AU"/>
        </w:rPr>
        <w:t xml:space="preserve"> comprise monthly records of about 3</w:t>
      </w:r>
      <w:r w:rsidR="00931196" w:rsidRPr="000F2880">
        <w:rPr>
          <w:lang w:val="en-AU"/>
        </w:rPr>
        <w:t>,</w:t>
      </w:r>
      <w:r w:rsidR="00D864F6" w:rsidRPr="000F2880">
        <w:rPr>
          <w:lang w:val="en-AU"/>
        </w:rPr>
        <w:t>700 individuals who worked as installers at some point during a 19 month period</w:t>
      </w:r>
      <w:r w:rsidR="00673862" w:rsidRPr="000F2880">
        <w:rPr>
          <w:lang w:val="en-AU"/>
        </w:rPr>
        <w:t xml:space="preserve"> in 2004-05</w:t>
      </w:r>
      <w:r w:rsidR="00D864F6" w:rsidRPr="000F2880">
        <w:rPr>
          <w:lang w:val="en-AU"/>
        </w:rPr>
        <w:t xml:space="preserve">. </w:t>
      </w:r>
      <w:r w:rsidR="00C56DA0" w:rsidRPr="000F2880">
        <w:rPr>
          <w:lang w:val="en-AU"/>
        </w:rPr>
        <w:t xml:space="preserve">The switch to the piece rate plan at </w:t>
      </w:r>
      <w:proofErr w:type="spellStart"/>
      <w:r w:rsidR="00C56DA0" w:rsidRPr="000F2880">
        <w:rPr>
          <w:lang w:val="en-AU"/>
        </w:rPr>
        <w:t>Safelite</w:t>
      </w:r>
      <w:proofErr w:type="spellEnd"/>
      <w:r w:rsidR="00C56DA0" w:rsidRPr="000F2880">
        <w:rPr>
          <w:lang w:val="en-AU"/>
        </w:rPr>
        <w:t xml:space="preserve"> was phased in over a period of several months, and thus </w:t>
      </w:r>
      <w:r w:rsidR="007227E0">
        <w:rPr>
          <w:lang w:val="en-AU"/>
        </w:rPr>
        <w:t>it is possible</w:t>
      </w:r>
      <w:r w:rsidR="00C56DA0" w:rsidRPr="000F2880">
        <w:rPr>
          <w:lang w:val="en-AU"/>
        </w:rPr>
        <w:t xml:space="preserve"> to estimate </w:t>
      </w:r>
      <w:r w:rsidR="00211E13" w:rsidRPr="000F2880">
        <w:rPr>
          <w:lang w:val="en-AU"/>
        </w:rPr>
        <w:t xml:space="preserve">the productivity effects of piece rate plan </w:t>
      </w:r>
      <w:r w:rsidR="009E0658" w:rsidRPr="000F2880">
        <w:rPr>
          <w:lang w:val="en-AU"/>
        </w:rPr>
        <w:t xml:space="preserve">without the estimates being confounded by </w:t>
      </w:r>
      <w:r w:rsidR="0006441E">
        <w:rPr>
          <w:lang w:val="en-AU"/>
        </w:rPr>
        <w:t xml:space="preserve">any potential </w:t>
      </w:r>
      <w:r w:rsidR="009E0658" w:rsidRPr="000F2880">
        <w:rPr>
          <w:lang w:val="en-AU"/>
        </w:rPr>
        <w:t xml:space="preserve">time effects. </w:t>
      </w:r>
      <w:proofErr w:type="spellStart"/>
      <w:r w:rsidR="00D36B11">
        <w:rPr>
          <w:lang w:val="en-AU"/>
        </w:rPr>
        <w:t>Lazear’s</w:t>
      </w:r>
      <w:proofErr w:type="spellEnd"/>
      <w:r w:rsidR="00C15646" w:rsidRPr="000F2880">
        <w:rPr>
          <w:lang w:val="en-AU"/>
        </w:rPr>
        <w:t xml:space="preserve"> </w:t>
      </w:r>
      <w:r w:rsidR="00D36B11">
        <w:rPr>
          <w:lang w:val="en-AU"/>
        </w:rPr>
        <w:t>empirical approach</w:t>
      </w:r>
      <w:r w:rsidR="00C15646" w:rsidRPr="000F2880">
        <w:rPr>
          <w:lang w:val="en-AU"/>
        </w:rPr>
        <w:t xml:space="preserve"> </w:t>
      </w:r>
      <w:r w:rsidR="00D36B11">
        <w:rPr>
          <w:lang w:val="en-AU"/>
        </w:rPr>
        <w:t xml:space="preserve">is to </w:t>
      </w:r>
      <w:r w:rsidR="00C15646" w:rsidRPr="000F2880">
        <w:rPr>
          <w:lang w:val="en-AU"/>
        </w:rPr>
        <w:t>estimat</w:t>
      </w:r>
      <w:r w:rsidR="00D36B11">
        <w:rPr>
          <w:lang w:val="en-AU"/>
        </w:rPr>
        <w:t>e</w:t>
      </w:r>
      <w:r w:rsidR="00C15646" w:rsidRPr="000F2880">
        <w:rPr>
          <w:lang w:val="en-AU"/>
        </w:rPr>
        <w:t xml:space="preserve"> individual-level and firm-level productivity before and after the implementation of the piece rate plan</w:t>
      </w:r>
      <w:r w:rsidR="00025E27">
        <w:rPr>
          <w:lang w:val="en-AU"/>
        </w:rPr>
        <w:t>, and he</w:t>
      </w:r>
      <w:r w:rsidR="00C15646" w:rsidRPr="000F2880">
        <w:rPr>
          <w:lang w:val="en-AU"/>
        </w:rPr>
        <w:t xml:space="preserve"> interprets the difference between</w:t>
      </w:r>
      <w:r w:rsidR="00FA3F25">
        <w:rPr>
          <w:lang w:val="en-AU"/>
        </w:rPr>
        <w:t xml:space="preserve"> the</w:t>
      </w:r>
      <w:r w:rsidR="00C15646" w:rsidRPr="000F2880">
        <w:rPr>
          <w:lang w:val="en-AU"/>
        </w:rPr>
        <w:t xml:space="preserve"> firm-level and individual-level </w:t>
      </w:r>
      <w:r w:rsidR="00FA3F25">
        <w:rPr>
          <w:lang w:val="en-AU"/>
        </w:rPr>
        <w:t xml:space="preserve">changes </w:t>
      </w:r>
      <w:r w:rsidR="00C15646" w:rsidRPr="000F2880">
        <w:rPr>
          <w:lang w:val="en-AU"/>
        </w:rPr>
        <w:t xml:space="preserve">to be the </w:t>
      </w:r>
      <w:r w:rsidR="009E0658" w:rsidRPr="000F2880">
        <w:rPr>
          <w:lang w:val="en-AU"/>
        </w:rPr>
        <w:t xml:space="preserve">effect of employee self-selection into and out of </w:t>
      </w:r>
      <w:proofErr w:type="spellStart"/>
      <w:r w:rsidR="009E0658" w:rsidRPr="000F2880">
        <w:rPr>
          <w:lang w:val="en-AU"/>
        </w:rPr>
        <w:t>Safelite</w:t>
      </w:r>
      <w:proofErr w:type="spellEnd"/>
      <w:r w:rsidR="00C15646" w:rsidRPr="000F2880">
        <w:rPr>
          <w:lang w:val="en-AU"/>
        </w:rPr>
        <w:t xml:space="preserve"> </w:t>
      </w:r>
      <w:r w:rsidR="009F5F55">
        <w:rPr>
          <w:lang w:val="en-AU"/>
        </w:rPr>
        <w:t>(</w:t>
      </w:r>
      <w:r w:rsidR="00C15646" w:rsidRPr="000F2880">
        <w:rPr>
          <w:lang w:val="en-AU"/>
        </w:rPr>
        <w:t>e.g.</w:t>
      </w:r>
      <w:r w:rsidR="009E0658" w:rsidRPr="000F2880">
        <w:rPr>
          <w:lang w:val="en-AU"/>
        </w:rPr>
        <w:t xml:space="preserve"> whether the new plan attracted inheren</w:t>
      </w:r>
      <w:r w:rsidR="00C15646" w:rsidRPr="000F2880">
        <w:rPr>
          <w:lang w:val="en-AU"/>
        </w:rPr>
        <w:t>tly higher productivity workers</w:t>
      </w:r>
      <w:r w:rsidR="009F5F55">
        <w:rPr>
          <w:lang w:val="en-AU"/>
        </w:rPr>
        <w:t>)</w:t>
      </w:r>
      <w:r w:rsidR="0006441E">
        <w:rPr>
          <w:lang w:val="en-AU"/>
        </w:rPr>
        <w:t>.</w:t>
      </w:r>
    </w:p>
    <w:p w:rsidR="009E0658" w:rsidRPr="000F2880" w:rsidRDefault="009E0658" w:rsidP="005A5089">
      <w:pPr>
        <w:spacing w:line="276" w:lineRule="auto"/>
        <w:rPr>
          <w:lang w:val="en-AU"/>
        </w:rPr>
      </w:pPr>
    </w:p>
    <w:p w:rsidR="007227E0" w:rsidRDefault="00790C68" w:rsidP="005A5089">
      <w:pPr>
        <w:spacing w:line="276" w:lineRule="auto"/>
        <w:rPr>
          <w:lang w:val="en-AU"/>
        </w:rPr>
      </w:pPr>
      <w:proofErr w:type="spellStart"/>
      <w:r w:rsidRPr="000F2880">
        <w:rPr>
          <w:lang w:val="en-AU"/>
        </w:rPr>
        <w:t>Bandiera</w:t>
      </w:r>
      <w:proofErr w:type="spellEnd"/>
      <w:r w:rsidRPr="000F2880">
        <w:rPr>
          <w:lang w:val="en-AU"/>
        </w:rPr>
        <w:t xml:space="preserve">, </w:t>
      </w:r>
      <w:proofErr w:type="spellStart"/>
      <w:r w:rsidRPr="000F2880">
        <w:rPr>
          <w:lang w:val="en-AU"/>
        </w:rPr>
        <w:t>Barankay</w:t>
      </w:r>
      <w:proofErr w:type="spellEnd"/>
      <w:r w:rsidRPr="000F2880">
        <w:rPr>
          <w:lang w:val="en-AU"/>
        </w:rPr>
        <w:t xml:space="preserve"> and </w:t>
      </w:r>
      <w:proofErr w:type="spellStart"/>
      <w:r w:rsidRPr="000F2880">
        <w:rPr>
          <w:lang w:val="en-AU"/>
        </w:rPr>
        <w:t>Rasul</w:t>
      </w:r>
      <w:proofErr w:type="spellEnd"/>
      <w:r w:rsidRPr="000F2880">
        <w:rPr>
          <w:lang w:val="en-AU"/>
        </w:rPr>
        <w:t xml:space="preserve"> (2005, 2009</w:t>
      </w:r>
      <w:r w:rsidR="00D2092C" w:rsidRPr="000F2880">
        <w:rPr>
          <w:lang w:val="en-AU"/>
        </w:rPr>
        <w:t xml:space="preserve">, </w:t>
      </w:r>
      <w:proofErr w:type="gramStart"/>
      <w:r w:rsidR="00D2092C" w:rsidRPr="000F2880">
        <w:rPr>
          <w:lang w:val="en-AU"/>
        </w:rPr>
        <w:t>2010</w:t>
      </w:r>
      <w:proofErr w:type="gramEnd"/>
      <w:r w:rsidRPr="000F2880">
        <w:rPr>
          <w:lang w:val="en-AU"/>
        </w:rPr>
        <w:t xml:space="preserve">) </w:t>
      </w:r>
      <w:r w:rsidR="00D36B11">
        <w:rPr>
          <w:lang w:val="en-AU"/>
        </w:rPr>
        <w:t>examine</w:t>
      </w:r>
      <w:r w:rsidR="00FC59E1">
        <w:rPr>
          <w:lang w:val="en-AU"/>
        </w:rPr>
        <w:t xml:space="preserve"> </w:t>
      </w:r>
      <w:r w:rsidR="00EF74A4">
        <w:rPr>
          <w:lang w:val="en-AU"/>
        </w:rPr>
        <w:t>‘</w:t>
      </w:r>
      <w:r w:rsidR="00C657E5" w:rsidRPr="000F2880">
        <w:rPr>
          <w:lang w:val="en-AU"/>
        </w:rPr>
        <w:t>natural field experiments</w:t>
      </w:r>
      <w:r w:rsidR="00EF74A4">
        <w:rPr>
          <w:lang w:val="en-AU"/>
        </w:rPr>
        <w:t>’</w:t>
      </w:r>
      <w:r w:rsidR="00C657E5" w:rsidRPr="000F2880">
        <w:rPr>
          <w:lang w:val="en-AU"/>
        </w:rPr>
        <w:t xml:space="preserve"> using</w:t>
      </w:r>
      <w:r w:rsidR="00890B5B" w:rsidRPr="000F2880">
        <w:rPr>
          <w:lang w:val="en-AU"/>
        </w:rPr>
        <w:t xml:space="preserve"> personnel records</w:t>
      </w:r>
      <w:r w:rsidRPr="000F2880">
        <w:rPr>
          <w:lang w:val="en-AU"/>
        </w:rPr>
        <w:t xml:space="preserve"> covering immigrant </w:t>
      </w:r>
      <w:r w:rsidR="00C657E5" w:rsidRPr="000F2880">
        <w:rPr>
          <w:lang w:val="en-AU"/>
        </w:rPr>
        <w:t xml:space="preserve">farm </w:t>
      </w:r>
      <w:r w:rsidRPr="000F2880">
        <w:rPr>
          <w:lang w:val="en-AU"/>
        </w:rPr>
        <w:t>workers at the largest soft fruit company in the United Kingdom.</w:t>
      </w:r>
      <w:r w:rsidR="00751324" w:rsidRPr="000F2880">
        <w:rPr>
          <w:lang w:val="en-AU"/>
        </w:rPr>
        <w:t xml:space="preserve"> </w:t>
      </w:r>
      <w:r w:rsidR="00C657E5" w:rsidRPr="000F2880">
        <w:rPr>
          <w:lang w:val="en-AU"/>
        </w:rPr>
        <w:t>The</w:t>
      </w:r>
      <w:r w:rsidR="007227E0">
        <w:rPr>
          <w:lang w:val="en-AU"/>
        </w:rPr>
        <w:t>se</w:t>
      </w:r>
      <w:r w:rsidR="00C657E5" w:rsidRPr="000F2880">
        <w:rPr>
          <w:lang w:val="en-AU"/>
        </w:rPr>
        <w:t xml:space="preserve"> studies utilize data from </w:t>
      </w:r>
      <w:r w:rsidR="004E6915" w:rsidRPr="000F2880">
        <w:rPr>
          <w:lang w:val="en-AU"/>
        </w:rPr>
        <w:t xml:space="preserve">the harvest </w:t>
      </w:r>
      <w:r w:rsidR="00C657E5" w:rsidRPr="000F2880">
        <w:rPr>
          <w:lang w:val="en-AU"/>
        </w:rPr>
        <w:t>seasons</w:t>
      </w:r>
      <w:r w:rsidR="004E6915" w:rsidRPr="000F2880">
        <w:rPr>
          <w:lang w:val="en-AU"/>
        </w:rPr>
        <w:t xml:space="preserve"> between 2002 and 2004</w:t>
      </w:r>
      <w:r w:rsidR="00890B5B" w:rsidRPr="000F2880">
        <w:rPr>
          <w:lang w:val="en-AU"/>
        </w:rPr>
        <w:t xml:space="preserve">. In </w:t>
      </w:r>
      <w:r w:rsidR="00205035" w:rsidRPr="000F2880">
        <w:rPr>
          <w:lang w:val="en-AU"/>
        </w:rPr>
        <w:t>the middle of each season the employer made some change to their compensation practices</w:t>
      </w:r>
      <w:r w:rsidR="00890B5B" w:rsidRPr="000F2880">
        <w:rPr>
          <w:lang w:val="en-AU"/>
        </w:rPr>
        <w:t xml:space="preserve">, and these studies </w:t>
      </w:r>
      <w:r w:rsidR="00B02640">
        <w:rPr>
          <w:lang w:val="en-AU"/>
        </w:rPr>
        <w:t>focus</w:t>
      </w:r>
      <w:r w:rsidR="00890B5B" w:rsidRPr="000F2880">
        <w:rPr>
          <w:lang w:val="en-AU"/>
        </w:rPr>
        <w:t xml:space="preserve"> on how workers responded to the incentives created by these changes</w:t>
      </w:r>
      <w:r w:rsidR="00205035" w:rsidRPr="000F2880">
        <w:rPr>
          <w:lang w:val="en-AU"/>
        </w:rPr>
        <w:t xml:space="preserve">. </w:t>
      </w:r>
      <w:r w:rsidR="00C657E5" w:rsidRPr="000F2880">
        <w:rPr>
          <w:lang w:val="en-AU"/>
        </w:rPr>
        <w:t xml:space="preserve">The data </w:t>
      </w:r>
      <w:r w:rsidR="00890B5B" w:rsidRPr="000F2880">
        <w:rPr>
          <w:lang w:val="en-AU"/>
        </w:rPr>
        <w:t xml:space="preserve">used in these studies </w:t>
      </w:r>
      <w:r w:rsidR="00C657E5" w:rsidRPr="000F2880">
        <w:rPr>
          <w:lang w:val="en-AU"/>
        </w:rPr>
        <w:t>contain</w:t>
      </w:r>
      <w:r w:rsidR="00751324" w:rsidRPr="000F2880">
        <w:rPr>
          <w:lang w:val="en-AU"/>
        </w:rPr>
        <w:t xml:space="preserve"> daily observations of </w:t>
      </w:r>
      <w:r w:rsidR="00C657E5" w:rsidRPr="000F2880">
        <w:rPr>
          <w:lang w:val="en-AU"/>
        </w:rPr>
        <w:t>the productivity of</w:t>
      </w:r>
      <w:r w:rsidR="00751324" w:rsidRPr="000F2880">
        <w:rPr>
          <w:lang w:val="en-AU"/>
        </w:rPr>
        <w:t xml:space="preserve"> individual workers</w:t>
      </w:r>
      <w:r w:rsidR="00890B5B" w:rsidRPr="000F2880">
        <w:rPr>
          <w:lang w:val="en-AU"/>
        </w:rPr>
        <w:t xml:space="preserve">, i.e. </w:t>
      </w:r>
      <w:r w:rsidR="00751324" w:rsidRPr="000F2880">
        <w:rPr>
          <w:lang w:val="en-AU"/>
        </w:rPr>
        <w:t>the amount of fruit picked</w:t>
      </w:r>
      <w:r w:rsidR="00C657E5" w:rsidRPr="000F2880">
        <w:rPr>
          <w:lang w:val="en-AU"/>
        </w:rPr>
        <w:t xml:space="preserve"> each day</w:t>
      </w:r>
      <w:r w:rsidR="00205035" w:rsidRPr="000F2880">
        <w:rPr>
          <w:lang w:val="en-AU"/>
        </w:rPr>
        <w:t xml:space="preserve">. </w:t>
      </w:r>
      <w:r w:rsidR="00751324" w:rsidRPr="000F2880">
        <w:rPr>
          <w:lang w:val="en-AU"/>
        </w:rPr>
        <w:t>A unique element of their data is that it contains information about workers</w:t>
      </w:r>
      <w:r w:rsidR="00FA3F25">
        <w:rPr>
          <w:lang w:val="en-AU"/>
        </w:rPr>
        <w:t>’</w:t>
      </w:r>
      <w:r w:rsidR="00751324" w:rsidRPr="000F2880">
        <w:rPr>
          <w:lang w:val="en-AU"/>
        </w:rPr>
        <w:t xml:space="preserve"> social connectedness to </w:t>
      </w:r>
      <w:r w:rsidR="00FA3F25">
        <w:rPr>
          <w:lang w:val="en-AU"/>
        </w:rPr>
        <w:t xml:space="preserve">each </w:t>
      </w:r>
      <w:r w:rsidR="00751324" w:rsidRPr="000F2880">
        <w:rPr>
          <w:lang w:val="en-AU"/>
        </w:rPr>
        <w:t xml:space="preserve">other. </w:t>
      </w:r>
      <w:r w:rsidR="00C657E5" w:rsidRPr="000F2880">
        <w:rPr>
          <w:lang w:val="en-AU"/>
        </w:rPr>
        <w:t xml:space="preserve">They use this information to </w:t>
      </w:r>
      <w:r w:rsidR="00FA3F25">
        <w:rPr>
          <w:lang w:val="en-AU"/>
        </w:rPr>
        <w:t>examine</w:t>
      </w:r>
      <w:r w:rsidR="00D04EC0" w:rsidRPr="000F2880">
        <w:rPr>
          <w:lang w:val="en-AU"/>
        </w:rPr>
        <w:t xml:space="preserve"> the interaction between social relationships </w:t>
      </w:r>
      <w:r w:rsidR="00097D18">
        <w:rPr>
          <w:lang w:val="en-AU"/>
        </w:rPr>
        <w:t>and incentives in the workplace</w:t>
      </w:r>
      <w:r w:rsidR="009F5F55">
        <w:rPr>
          <w:lang w:val="en-AU"/>
        </w:rPr>
        <w:t xml:space="preserve">, and </w:t>
      </w:r>
      <w:r w:rsidR="00874875" w:rsidRPr="000F2880">
        <w:rPr>
          <w:lang w:val="en-AU"/>
        </w:rPr>
        <w:t xml:space="preserve">show that properly designed incentives can reduce the consequence of nepotism in the workplace. </w:t>
      </w:r>
    </w:p>
    <w:p w:rsidR="007227E0" w:rsidRDefault="007227E0" w:rsidP="005A5089">
      <w:pPr>
        <w:spacing w:line="276" w:lineRule="auto"/>
        <w:rPr>
          <w:lang w:val="en-AU"/>
        </w:rPr>
      </w:pPr>
    </w:p>
    <w:p w:rsidR="00EC1BF8" w:rsidRDefault="00EC1BF8" w:rsidP="005A5089">
      <w:pPr>
        <w:spacing w:line="276" w:lineRule="auto"/>
        <w:rPr>
          <w:lang w:val="en-AU"/>
        </w:rPr>
      </w:pPr>
    </w:p>
    <w:p w:rsidR="00EC1BF8" w:rsidRDefault="00EC1BF8" w:rsidP="005A5089">
      <w:pPr>
        <w:spacing w:line="276" w:lineRule="auto"/>
        <w:rPr>
          <w:lang w:val="en-AU"/>
        </w:rPr>
      </w:pPr>
    </w:p>
    <w:p w:rsidR="007227E0" w:rsidRPr="007227E0" w:rsidRDefault="00DA7FAD" w:rsidP="005A5089">
      <w:pPr>
        <w:spacing w:line="276" w:lineRule="auto"/>
        <w:rPr>
          <w:i/>
          <w:lang w:val="en-AU"/>
        </w:rPr>
      </w:pPr>
      <w:r>
        <w:rPr>
          <w:i/>
          <w:lang w:val="en-AU"/>
        </w:rPr>
        <w:lastRenderedPageBreak/>
        <w:t>4.2</w:t>
      </w:r>
      <w:r w:rsidR="007227E0" w:rsidRPr="007227E0">
        <w:rPr>
          <w:i/>
          <w:lang w:val="en-AU"/>
        </w:rPr>
        <w:t xml:space="preserve"> Incentives in Larger Firms</w:t>
      </w:r>
    </w:p>
    <w:p w:rsidR="00B86CDE" w:rsidRDefault="00B86CDE" w:rsidP="005A5089">
      <w:pPr>
        <w:spacing w:line="276" w:lineRule="auto"/>
        <w:rPr>
          <w:lang w:val="en-AU"/>
        </w:rPr>
      </w:pPr>
    </w:p>
    <w:p w:rsidR="00732530" w:rsidRDefault="00732530" w:rsidP="005A5089">
      <w:pPr>
        <w:spacing w:line="276" w:lineRule="auto"/>
        <w:rPr>
          <w:lang w:val="en-AU"/>
        </w:rPr>
      </w:pPr>
      <w:r>
        <w:rPr>
          <w:lang w:val="en-AU"/>
        </w:rPr>
        <w:t xml:space="preserve">One of the earliest papers to use firm-level administrative records is </w:t>
      </w:r>
      <w:proofErr w:type="spellStart"/>
      <w:r>
        <w:rPr>
          <w:lang w:val="en-AU"/>
        </w:rPr>
        <w:t>Medoff</w:t>
      </w:r>
      <w:proofErr w:type="spellEnd"/>
      <w:r>
        <w:rPr>
          <w:lang w:val="en-AU"/>
        </w:rPr>
        <w:t xml:space="preserve"> and Abraham (1980). </w:t>
      </w:r>
      <w:r w:rsidR="00641725">
        <w:rPr>
          <w:lang w:val="en-AU"/>
        </w:rPr>
        <w:t>The</w:t>
      </w:r>
      <w:r w:rsidR="00852861">
        <w:rPr>
          <w:lang w:val="en-AU"/>
        </w:rPr>
        <w:t>y</w:t>
      </w:r>
      <w:r w:rsidR="00641725">
        <w:rPr>
          <w:lang w:val="en-AU"/>
        </w:rPr>
        <w:t xml:space="preserve"> use </w:t>
      </w:r>
      <w:r w:rsidR="000371D3">
        <w:rPr>
          <w:lang w:val="en-AU"/>
        </w:rPr>
        <w:t xml:space="preserve">records from two </w:t>
      </w:r>
      <w:r w:rsidR="00D64938">
        <w:rPr>
          <w:lang w:val="en-AU"/>
        </w:rPr>
        <w:t xml:space="preserve">American </w:t>
      </w:r>
      <w:r w:rsidR="000371D3">
        <w:rPr>
          <w:lang w:val="en-AU"/>
        </w:rPr>
        <w:t xml:space="preserve">companies </w:t>
      </w:r>
      <w:r w:rsidR="002D19B5">
        <w:rPr>
          <w:lang w:val="en-AU"/>
        </w:rPr>
        <w:t xml:space="preserve">in undisclosed industries </w:t>
      </w:r>
      <w:r w:rsidR="000371D3">
        <w:rPr>
          <w:lang w:val="en-AU"/>
        </w:rPr>
        <w:t xml:space="preserve">to examine the relationship between pay and performance. </w:t>
      </w:r>
      <w:r w:rsidR="002D19B5">
        <w:rPr>
          <w:lang w:val="en-AU"/>
        </w:rPr>
        <w:t xml:space="preserve">The records from the first company </w:t>
      </w:r>
      <w:r w:rsidR="001553F2">
        <w:rPr>
          <w:lang w:val="en-AU"/>
        </w:rPr>
        <w:t>cover</w:t>
      </w:r>
      <w:r w:rsidR="002D19B5">
        <w:rPr>
          <w:lang w:val="en-AU"/>
        </w:rPr>
        <w:t xml:space="preserve"> personnel actions in 1977, while the records from the second company </w:t>
      </w:r>
      <w:r w:rsidR="001553F2">
        <w:rPr>
          <w:lang w:val="en-AU"/>
        </w:rPr>
        <w:t xml:space="preserve">cover </w:t>
      </w:r>
      <w:r w:rsidR="002D19B5">
        <w:rPr>
          <w:lang w:val="en-AU"/>
        </w:rPr>
        <w:t>p</w:t>
      </w:r>
      <w:r w:rsidR="00542882">
        <w:rPr>
          <w:lang w:val="en-AU"/>
        </w:rPr>
        <w:t>ersonnel actions between 1971 and</w:t>
      </w:r>
      <w:r w:rsidR="002D19B5">
        <w:rPr>
          <w:lang w:val="en-AU"/>
        </w:rPr>
        <w:t xml:space="preserve"> 1977 </w:t>
      </w:r>
      <w:r w:rsidR="001553F2">
        <w:rPr>
          <w:lang w:val="en-AU"/>
        </w:rPr>
        <w:t>for all staff in</w:t>
      </w:r>
      <w:r w:rsidR="002D19B5">
        <w:rPr>
          <w:lang w:val="en-AU"/>
        </w:rPr>
        <w:t xml:space="preserve"> </w:t>
      </w:r>
      <w:r w:rsidR="001553F2">
        <w:rPr>
          <w:lang w:val="en-AU"/>
        </w:rPr>
        <w:t xml:space="preserve">employment </w:t>
      </w:r>
      <w:r w:rsidR="009F4168">
        <w:rPr>
          <w:lang w:val="en-AU"/>
        </w:rPr>
        <w:t>from</w:t>
      </w:r>
      <w:r w:rsidR="001553F2">
        <w:rPr>
          <w:lang w:val="en-AU"/>
        </w:rPr>
        <w:t xml:space="preserve"> 1974 </w:t>
      </w:r>
      <w:r w:rsidR="009F4168">
        <w:rPr>
          <w:lang w:val="en-AU"/>
        </w:rPr>
        <w:t>to</w:t>
      </w:r>
      <w:r w:rsidR="001553F2">
        <w:rPr>
          <w:lang w:val="en-AU"/>
        </w:rPr>
        <w:t xml:space="preserve"> 1977</w:t>
      </w:r>
      <w:r w:rsidR="002D19B5">
        <w:rPr>
          <w:lang w:val="en-AU"/>
        </w:rPr>
        <w:t xml:space="preserve">. </w:t>
      </w:r>
      <w:r w:rsidR="000371D3">
        <w:rPr>
          <w:lang w:val="en-AU"/>
        </w:rPr>
        <w:t>Their data contain</w:t>
      </w:r>
      <w:r w:rsidR="008E7876">
        <w:rPr>
          <w:lang w:val="en-AU"/>
        </w:rPr>
        <w:t>s</w:t>
      </w:r>
      <w:r w:rsidR="000371D3">
        <w:rPr>
          <w:lang w:val="en-AU"/>
        </w:rPr>
        <w:t xml:space="preserve"> </w:t>
      </w:r>
      <w:r w:rsidR="00E86E46">
        <w:rPr>
          <w:lang w:val="en-AU"/>
        </w:rPr>
        <w:t>an annual p</w:t>
      </w:r>
      <w:r w:rsidR="000371D3">
        <w:rPr>
          <w:lang w:val="en-AU"/>
        </w:rPr>
        <w:t>erformance evaluatio</w:t>
      </w:r>
      <w:r w:rsidR="002D19B5">
        <w:rPr>
          <w:lang w:val="en-AU"/>
        </w:rPr>
        <w:t>n</w:t>
      </w:r>
      <w:r w:rsidR="00D16945">
        <w:rPr>
          <w:lang w:val="en-AU"/>
        </w:rPr>
        <w:t xml:space="preserve"> for each employee, which </w:t>
      </w:r>
      <w:r w:rsidR="000371D3">
        <w:rPr>
          <w:lang w:val="en-AU"/>
        </w:rPr>
        <w:t>provide</w:t>
      </w:r>
      <w:r w:rsidR="00E86E46">
        <w:rPr>
          <w:lang w:val="en-AU"/>
        </w:rPr>
        <w:t>s</w:t>
      </w:r>
      <w:r w:rsidR="000371D3">
        <w:rPr>
          <w:lang w:val="en-AU"/>
        </w:rPr>
        <w:t xml:space="preserve"> a description</w:t>
      </w:r>
      <w:r w:rsidR="00E86E46">
        <w:rPr>
          <w:lang w:val="en-AU"/>
        </w:rPr>
        <w:t xml:space="preserve"> of their position </w:t>
      </w:r>
      <w:r w:rsidR="000371D3">
        <w:rPr>
          <w:lang w:val="en-AU"/>
        </w:rPr>
        <w:t xml:space="preserve">and </w:t>
      </w:r>
      <w:r w:rsidR="00A80BA0">
        <w:rPr>
          <w:lang w:val="en-AU"/>
        </w:rPr>
        <w:t>the</w:t>
      </w:r>
      <w:r w:rsidR="00E86E46">
        <w:rPr>
          <w:lang w:val="en-AU"/>
        </w:rPr>
        <w:t>ir</w:t>
      </w:r>
      <w:r w:rsidR="00A80BA0">
        <w:rPr>
          <w:lang w:val="en-AU"/>
        </w:rPr>
        <w:t xml:space="preserve"> </w:t>
      </w:r>
      <w:r w:rsidR="00D36B11">
        <w:rPr>
          <w:lang w:val="en-AU"/>
        </w:rPr>
        <w:t>supervisor’s</w:t>
      </w:r>
      <w:r w:rsidR="000371D3">
        <w:rPr>
          <w:lang w:val="en-AU"/>
        </w:rPr>
        <w:t xml:space="preserve"> subjective evaluation of</w:t>
      </w:r>
      <w:r w:rsidR="00FC59E1">
        <w:rPr>
          <w:lang w:val="en-AU"/>
        </w:rPr>
        <w:t xml:space="preserve"> </w:t>
      </w:r>
      <w:r w:rsidR="00A80BA0">
        <w:rPr>
          <w:lang w:val="en-AU"/>
        </w:rPr>
        <w:t>their</w:t>
      </w:r>
      <w:r w:rsidR="000371D3">
        <w:rPr>
          <w:lang w:val="en-AU"/>
        </w:rPr>
        <w:t xml:space="preserve"> performance </w:t>
      </w:r>
      <w:r w:rsidR="00D36B11">
        <w:rPr>
          <w:lang w:val="en-AU"/>
        </w:rPr>
        <w:t xml:space="preserve">over the previous year </w:t>
      </w:r>
      <w:r w:rsidR="002D19B5">
        <w:rPr>
          <w:lang w:val="en-AU"/>
        </w:rPr>
        <w:t>(excellent, superior, good, etc.)</w:t>
      </w:r>
      <w:r w:rsidR="000371D3">
        <w:rPr>
          <w:lang w:val="en-AU"/>
        </w:rPr>
        <w:t>. The</w:t>
      </w:r>
      <w:r w:rsidR="00852861">
        <w:rPr>
          <w:lang w:val="en-AU"/>
        </w:rPr>
        <w:t>y</w:t>
      </w:r>
      <w:r w:rsidR="000371D3">
        <w:rPr>
          <w:lang w:val="en-AU"/>
        </w:rPr>
        <w:t xml:space="preserve"> use the</w:t>
      </w:r>
      <w:r w:rsidR="00FC59E1">
        <w:rPr>
          <w:lang w:val="en-AU"/>
        </w:rPr>
        <w:t xml:space="preserve">se data to compare the estimated </w:t>
      </w:r>
      <w:r w:rsidR="000371D3">
        <w:rPr>
          <w:lang w:val="en-AU"/>
        </w:rPr>
        <w:t xml:space="preserve">experience-earnings profile to the estimated experience-productivity profile, and show that </w:t>
      </w:r>
      <w:r w:rsidR="003957AE">
        <w:rPr>
          <w:lang w:val="en-AU"/>
        </w:rPr>
        <w:t>much of individuals’ earnings growth cannot be explained by productivity growth.</w:t>
      </w:r>
    </w:p>
    <w:p w:rsidR="00732530" w:rsidRPr="000F2880" w:rsidRDefault="00732530" w:rsidP="005A5089">
      <w:pPr>
        <w:spacing w:line="276" w:lineRule="auto"/>
        <w:rPr>
          <w:lang w:val="en-AU"/>
        </w:rPr>
      </w:pPr>
    </w:p>
    <w:p w:rsidR="00732530" w:rsidRDefault="00131957" w:rsidP="005A5089">
      <w:pPr>
        <w:spacing w:line="276" w:lineRule="auto"/>
        <w:rPr>
          <w:lang w:val="en-AU"/>
        </w:rPr>
      </w:pPr>
      <w:r>
        <w:rPr>
          <w:lang w:val="en-AU"/>
        </w:rPr>
        <w:t xml:space="preserve">Perhaps the best known </w:t>
      </w:r>
      <w:proofErr w:type="gramStart"/>
      <w:r>
        <w:rPr>
          <w:lang w:val="en-AU"/>
        </w:rPr>
        <w:t>stud</w:t>
      </w:r>
      <w:r w:rsidR="00205FA6">
        <w:rPr>
          <w:lang w:val="en-AU"/>
        </w:rPr>
        <w:t>ies</w:t>
      </w:r>
      <w:r>
        <w:rPr>
          <w:lang w:val="en-AU"/>
        </w:rPr>
        <w:t xml:space="preserve"> which utilizes</w:t>
      </w:r>
      <w:proofErr w:type="gramEnd"/>
      <w:r>
        <w:rPr>
          <w:lang w:val="en-AU"/>
        </w:rPr>
        <w:t xml:space="preserve"> personnel records </w:t>
      </w:r>
      <w:r w:rsidR="00205FA6">
        <w:rPr>
          <w:lang w:val="en-AU"/>
        </w:rPr>
        <w:t xml:space="preserve">are </w:t>
      </w:r>
      <w:r w:rsidR="00A5725D" w:rsidRPr="000F2880">
        <w:rPr>
          <w:lang w:val="en-AU"/>
        </w:rPr>
        <w:t xml:space="preserve">Baker, Gibbs and </w:t>
      </w:r>
      <w:proofErr w:type="spellStart"/>
      <w:r w:rsidR="00A5725D" w:rsidRPr="000F2880">
        <w:rPr>
          <w:lang w:val="en-AU"/>
        </w:rPr>
        <w:t>Holmstrom</w:t>
      </w:r>
      <w:proofErr w:type="spellEnd"/>
      <w:r w:rsidR="00A5725D" w:rsidRPr="000F2880">
        <w:rPr>
          <w:lang w:val="en-AU"/>
        </w:rPr>
        <w:t xml:space="preserve"> (199</w:t>
      </w:r>
      <w:r>
        <w:rPr>
          <w:lang w:val="en-AU"/>
        </w:rPr>
        <w:t>4</w:t>
      </w:r>
      <w:r w:rsidR="00A5725D" w:rsidRPr="000F2880">
        <w:rPr>
          <w:lang w:val="en-AU"/>
        </w:rPr>
        <w:t>a and 199</w:t>
      </w:r>
      <w:r>
        <w:rPr>
          <w:lang w:val="en-AU"/>
        </w:rPr>
        <w:t>4</w:t>
      </w:r>
      <w:r w:rsidR="00A5725D" w:rsidRPr="000F2880">
        <w:rPr>
          <w:lang w:val="en-AU"/>
        </w:rPr>
        <w:t>b)</w:t>
      </w:r>
      <w:r>
        <w:rPr>
          <w:lang w:val="en-AU"/>
        </w:rPr>
        <w:t>. The</w:t>
      </w:r>
      <w:r w:rsidR="0052706A">
        <w:rPr>
          <w:lang w:val="en-AU"/>
        </w:rPr>
        <w:t>y</w:t>
      </w:r>
      <w:r w:rsidR="00A5725D" w:rsidRPr="000F2880">
        <w:rPr>
          <w:lang w:val="en-AU"/>
        </w:rPr>
        <w:t xml:space="preserve"> use </w:t>
      </w:r>
      <w:r w:rsidR="00D04EC0" w:rsidRPr="000F2880">
        <w:rPr>
          <w:lang w:val="en-AU"/>
        </w:rPr>
        <w:t>r</w:t>
      </w:r>
      <w:r w:rsidR="00A5725D" w:rsidRPr="000F2880">
        <w:rPr>
          <w:lang w:val="en-AU"/>
        </w:rPr>
        <w:t xml:space="preserve">ecords </w:t>
      </w:r>
      <w:r w:rsidR="00D04EC0" w:rsidRPr="000F2880">
        <w:rPr>
          <w:lang w:val="en-AU"/>
        </w:rPr>
        <w:t xml:space="preserve">covering </w:t>
      </w:r>
      <w:r w:rsidR="003A1F93">
        <w:rPr>
          <w:lang w:val="en-AU"/>
        </w:rPr>
        <w:t xml:space="preserve">all </w:t>
      </w:r>
      <w:r w:rsidR="00BC7D3E">
        <w:rPr>
          <w:lang w:val="en-AU"/>
        </w:rPr>
        <w:t>managerial</w:t>
      </w:r>
      <w:r w:rsidR="00A5725D" w:rsidRPr="000F2880">
        <w:rPr>
          <w:lang w:val="en-AU"/>
        </w:rPr>
        <w:t xml:space="preserve"> employees</w:t>
      </w:r>
      <w:r w:rsidR="00D04EC0" w:rsidRPr="000F2880">
        <w:rPr>
          <w:lang w:val="en-AU"/>
        </w:rPr>
        <w:t xml:space="preserve"> </w:t>
      </w:r>
      <w:r w:rsidR="00A80BA0">
        <w:rPr>
          <w:lang w:val="en-AU"/>
        </w:rPr>
        <w:t xml:space="preserve">of </w:t>
      </w:r>
      <w:r w:rsidR="009F4168">
        <w:rPr>
          <w:lang w:val="en-AU"/>
        </w:rPr>
        <w:t>a medium-sized</w:t>
      </w:r>
      <w:r w:rsidR="00BC7D3E" w:rsidRPr="000F2880">
        <w:rPr>
          <w:lang w:val="en-AU"/>
        </w:rPr>
        <w:t xml:space="preserve"> firm </w:t>
      </w:r>
      <w:r w:rsidR="001553F2">
        <w:rPr>
          <w:lang w:val="en-AU"/>
        </w:rPr>
        <w:t xml:space="preserve">in an American </w:t>
      </w:r>
      <w:r w:rsidR="001553F2" w:rsidRPr="000F2880">
        <w:rPr>
          <w:lang w:val="en-AU"/>
        </w:rPr>
        <w:t xml:space="preserve">service industry </w:t>
      </w:r>
      <w:r w:rsidR="00A80BA0">
        <w:rPr>
          <w:lang w:val="en-AU"/>
        </w:rPr>
        <w:t>between 1969 and 1988</w:t>
      </w:r>
      <w:r w:rsidR="0052706A">
        <w:rPr>
          <w:lang w:val="en-AU"/>
        </w:rPr>
        <w:t xml:space="preserve">, which </w:t>
      </w:r>
      <w:r w:rsidR="00BC7D3E" w:rsidRPr="00BC7D3E">
        <w:rPr>
          <w:lang w:val="en-AU"/>
        </w:rPr>
        <w:t>provide</w:t>
      </w:r>
      <w:r w:rsidR="00BC7D3E">
        <w:rPr>
          <w:lang w:val="en-AU"/>
        </w:rPr>
        <w:t xml:space="preserve"> over 68,000 man-years of</w:t>
      </w:r>
      <w:r w:rsidR="00BC7D3E" w:rsidRPr="00BC7D3E">
        <w:rPr>
          <w:lang w:val="en-AU"/>
        </w:rPr>
        <w:t xml:space="preserve"> data</w:t>
      </w:r>
      <w:r w:rsidR="00BC7D3E">
        <w:rPr>
          <w:lang w:val="en-AU"/>
        </w:rPr>
        <w:t xml:space="preserve">. </w:t>
      </w:r>
      <w:r w:rsidR="009850B4">
        <w:rPr>
          <w:lang w:val="en-AU"/>
        </w:rPr>
        <w:t xml:space="preserve">One of their main objectives is to estimate the relationship between </w:t>
      </w:r>
      <w:r w:rsidR="009F4168">
        <w:rPr>
          <w:lang w:val="en-AU"/>
        </w:rPr>
        <w:t>levels</w:t>
      </w:r>
      <w:r w:rsidR="009850B4">
        <w:rPr>
          <w:lang w:val="en-AU"/>
        </w:rPr>
        <w:t xml:space="preserve"> and salary, and they use the data on movement of workers between </w:t>
      </w:r>
      <w:r w:rsidR="003A1F93">
        <w:rPr>
          <w:lang w:val="en-AU"/>
        </w:rPr>
        <w:t xml:space="preserve">job </w:t>
      </w:r>
      <w:r w:rsidR="009850B4">
        <w:rPr>
          <w:lang w:val="en-AU"/>
        </w:rPr>
        <w:t>title</w:t>
      </w:r>
      <w:r w:rsidR="003A1F93">
        <w:rPr>
          <w:lang w:val="en-AU"/>
        </w:rPr>
        <w:t>s</w:t>
      </w:r>
      <w:r w:rsidR="009850B4">
        <w:rPr>
          <w:lang w:val="en-AU"/>
        </w:rPr>
        <w:t xml:space="preserve"> to identify the hierarchy of the firm. The</w:t>
      </w:r>
      <w:r w:rsidR="003A1F93">
        <w:rPr>
          <w:lang w:val="en-AU"/>
        </w:rPr>
        <w:t>y</w:t>
      </w:r>
      <w:r w:rsidR="009850B4">
        <w:rPr>
          <w:lang w:val="en-AU"/>
        </w:rPr>
        <w:t xml:space="preserve"> also </w:t>
      </w:r>
      <w:r w:rsidR="003A1F93">
        <w:rPr>
          <w:lang w:val="en-AU"/>
        </w:rPr>
        <w:t xml:space="preserve">examine </w:t>
      </w:r>
      <w:r w:rsidR="009F4168">
        <w:rPr>
          <w:lang w:val="en-AU"/>
        </w:rPr>
        <w:t xml:space="preserve">other aspects </w:t>
      </w:r>
      <w:r w:rsidR="00D355D3">
        <w:rPr>
          <w:lang w:val="en-AU"/>
        </w:rPr>
        <w:t xml:space="preserve">of compensation practices, focussing on </w:t>
      </w:r>
      <w:r w:rsidR="00A93294">
        <w:rPr>
          <w:lang w:val="en-AU"/>
        </w:rPr>
        <w:t>learning about</w:t>
      </w:r>
      <w:r w:rsidR="00D355D3">
        <w:rPr>
          <w:lang w:val="en-AU"/>
        </w:rPr>
        <w:t xml:space="preserve"> ability, the existence of cohort effects, </w:t>
      </w:r>
      <w:proofErr w:type="gramStart"/>
      <w:r w:rsidR="00D355D3">
        <w:rPr>
          <w:lang w:val="en-AU"/>
        </w:rPr>
        <w:t>the</w:t>
      </w:r>
      <w:proofErr w:type="gramEnd"/>
      <w:r w:rsidR="00D355D3">
        <w:rPr>
          <w:lang w:val="en-AU"/>
        </w:rPr>
        <w:t xml:space="preserve"> extent to which wages of incumbent staff </w:t>
      </w:r>
      <w:r w:rsidR="00A93294">
        <w:rPr>
          <w:lang w:val="en-AU"/>
        </w:rPr>
        <w:t>we</w:t>
      </w:r>
      <w:r w:rsidR="00D355D3">
        <w:rPr>
          <w:lang w:val="en-AU"/>
        </w:rPr>
        <w:t xml:space="preserve">re shielded from the external labour market and the returns to promotion. </w:t>
      </w:r>
      <w:r w:rsidR="00732530">
        <w:rPr>
          <w:lang w:val="en-AU"/>
        </w:rPr>
        <w:t xml:space="preserve">Since Baker et al.’s pioneering study, several other authors have used similar firm-level </w:t>
      </w:r>
      <w:r w:rsidR="00641725">
        <w:rPr>
          <w:lang w:val="en-AU"/>
        </w:rPr>
        <w:t xml:space="preserve">records </w:t>
      </w:r>
      <w:r w:rsidR="00A00BE8">
        <w:rPr>
          <w:lang w:val="en-AU"/>
        </w:rPr>
        <w:t>to examine personnel practices, including Treble et al. (2001)</w:t>
      </w:r>
      <w:r w:rsidR="00025E27">
        <w:rPr>
          <w:lang w:val="en-AU"/>
        </w:rPr>
        <w:t>,</w:t>
      </w:r>
      <w:r w:rsidR="00A00BE8">
        <w:rPr>
          <w:lang w:val="en-AU"/>
        </w:rPr>
        <w:t xml:space="preserve"> who examine a firm in the U.K. financial services industry and Gibbs and Hendricks (2004)</w:t>
      </w:r>
      <w:r w:rsidR="00025E27">
        <w:rPr>
          <w:lang w:val="en-AU"/>
        </w:rPr>
        <w:t>,</w:t>
      </w:r>
      <w:r w:rsidR="00A00BE8">
        <w:rPr>
          <w:lang w:val="en-AU"/>
        </w:rPr>
        <w:t xml:space="preserve"> who examine a large American firm</w:t>
      </w:r>
      <w:r w:rsidR="001553F2">
        <w:rPr>
          <w:lang w:val="en-AU"/>
        </w:rPr>
        <w:t xml:space="preserve"> in an undisclosed industry</w:t>
      </w:r>
      <w:r w:rsidR="00A00BE8">
        <w:rPr>
          <w:lang w:val="en-AU"/>
        </w:rPr>
        <w:t>.</w:t>
      </w:r>
    </w:p>
    <w:p w:rsidR="00732530" w:rsidRDefault="00732530" w:rsidP="005A5089">
      <w:pPr>
        <w:spacing w:line="276" w:lineRule="auto"/>
        <w:rPr>
          <w:lang w:val="en-AU"/>
        </w:rPr>
      </w:pPr>
    </w:p>
    <w:p w:rsidR="004F0BBB" w:rsidRDefault="00732530" w:rsidP="005A5089">
      <w:pPr>
        <w:spacing w:line="276" w:lineRule="auto"/>
        <w:rPr>
          <w:lang w:val="en-AU"/>
        </w:rPr>
      </w:pPr>
      <w:r>
        <w:rPr>
          <w:lang w:val="en-AU"/>
        </w:rPr>
        <w:t xml:space="preserve">As with the historical studies, researchers examining contemporary personnel practices have also used survey data which provides the same basic information as administrative records. </w:t>
      </w:r>
      <w:proofErr w:type="spellStart"/>
      <w:r w:rsidR="004F0BBB">
        <w:rPr>
          <w:lang w:val="en-AU"/>
        </w:rPr>
        <w:t>Bognanno</w:t>
      </w:r>
      <w:proofErr w:type="spellEnd"/>
      <w:r w:rsidR="004F0BBB">
        <w:rPr>
          <w:lang w:val="en-AU"/>
        </w:rPr>
        <w:t xml:space="preserve"> (2001) and </w:t>
      </w:r>
      <w:proofErr w:type="spellStart"/>
      <w:r w:rsidR="004F0BBB">
        <w:rPr>
          <w:lang w:val="en-AU"/>
        </w:rPr>
        <w:t>Belzil</w:t>
      </w:r>
      <w:proofErr w:type="spellEnd"/>
      <w:r w:rsidR="004F0BBB">
        <w:rPr>
          <w:lang w:val="en-AU"/>
        </w:rPr>
        <w:t xml:space="preserve"> and </w:t>
      </w:r>
      <w:proofErr w:type="spellStart"/>
      <w:r w:rsidR="004F0BBB">
        <w:rPr>
          <w:lang w:val="en-AU"/>
        </w:rPr>
        <w:t>Bognanno</w:t>
      </w:r>
      <w:proofErr w:type="spellEnd"/>
      <w:r w:rsidR="004F0BBB">
        <w:rPr>
          <w:lang w:val="en-AU"/>
        </w:rPr>
        <w:t xml:space="preserve"> (2008) use proprietary data from a </w:t>
      </w:r>
      <w:r w:rsidR="00E86E46">
        <w:rPr>
          <w:lang w:val="en-AU"/>
        </w:rPr>
        <w:t xml:space="preserve">1981-88 </w:t>
      </w:r>
      <w:r w:rsidR="004F0BBB">
        <w:rPr>
          <w:lang w:val="en-AU"/>
        </w:rPr>
        <w:t>survey of compensation practices at over 60</w:t>
      </w:r>
      <w:r w:rsidR="00A87D89">
        <w:rPr>
          <w:lang w:val="en-AU"/>
        </w:rPr>
        <w:t>0 firms employing over 25,000 executive</w:t>
      </w:r>
      <w:r w:rsidR="00025E27">
        <w:rPr>
          <w:lang w:val="en-AU"/>
        </w:rPr>
        <w:t xml:space="preserve"> employee</w:t>
      </w:r>
      <w:r w:rsidR="00A87D89">
        <w:rPr>
          <w:lang w:val="en-AU"/>
        </w:rPr>
        <w:t>s. T</w:t>
      </w:r>
      <w:r w:rsidR="004F0BBB">
        <w:rPr>
          <w:lang w:val="en-AU"/>
        </w:rPr>
        <w:t>hese data are particularly useful for personnel economists as they contain information similar to that covered in administrative records</w:t>
      </w:r>
      <w:r w:rsidR="00A87D89">
        <w:rPr>
          <w:lang w:val="en-AU"/>
        </w:rPr>
        <w:t>, but cover a much wider range of industries than is possible with firm-level administrative data. The major limitation of this data is that it only covers executive employees and thus is not suitable for examining personnel practices for the vast majority of the workforce. The authors use this</w:t>
      </w:r>
      <w:r>
        <w:rPr>
          <w:lang w:val="en-AU"/>
        </w:rPr>
        <w:t xml:space="preserve"> data to examine the nature of executive compensation, particularly the importance of promotions and demotions for base pay and bonuses.</w:t>
      </w:r>
    </w:p>
    <w:p w:rsidR="00BC7D3E" w:rsidRDefault="00BC7D3E" w:rsidP="005A5089">
      <w:pPr>
        <w:spacing w:line="276" w:lineRule="auto"/>
        <w:rPr>
          <w:lang w:val="en-AU"/>
        </w:rPr>
      </w:pPr>
    </w:p>
    <w:p w:rsidR="00FE33E4" w:rsidRPr="00DA7FAD" w:rsidRDefault="00DA7FAD" w:rsidP="00FE33E4">
      <w:pPr>
        <w:spacing w:line="276" w:lineRule="auto"/>
        <w:rPr>
          <w:b/>
          <w:lang w:val="en-AU"/>
        </w:rPr>
      </w:pPr>
      <w:r>
        <w:rPr>
          <w:b/>
          <w:lang w:val="en-AU"/>
        </w:rPr>
        <w:t>5</w:t>
      </w:r>
      <w:r w:rsidR="00C8448E" w:rsidRPr="00C8448E">
        <w:rPr>
          <w:b/>
          <w:lang w:val="en-AU"/>
        </w:rPr>
        <w:t>. Matched Employer-Employee Records</w:t>
      </w:r>
    </w:p>
    <w:p w:rsidR="00FE33E4" w:rsidRPr="003E32E4" w:rsidRDefault="00FE33E4" w:rsidP="00FE33E4">
      <w:pPr>
        <w:spacing w:line="276" w:lineRule="auto"/>
        <w:rPr>
          <w:b/>
          <w:i/>
          <w:lang w:val="en-AU"/>
        </w:rPr>
      </w:pPr>
    </w:p>
    <w:p w:rsidR="00CA1FEA" w:rsidRDefault="00CA1FEA" w:rsidP="00CA1FEA">
      <w:pPr>
        <w:spacing w:line="276" w:lineRule="auto"/>
        <w:rPr>
          <w:lang w:val="en-AU"/>
        </w:rPr>
      </w:pPr>
      <w:r>
        <w:rPr>
          <w:lang w:val="en-AU"/>
        </w:rPr>
        <w:t xml:space="preserve">The rise of personnel economics coincides with an increased availability of comprehensive Matched Employer-Employee (MEE) datasets. </w:t>
      </w:r>
      <w:r w:rsidR="00EC1BF8">
        <w:rPr>
          <w:lang w:val="en-AU"/>
        </w:rPr>
        <w:t xml:space="preserve">One of the </w:t>
      </w:r>
      <w:r w:rsidR="00587A3B">
        <w:rPr>
          <w:lang w:val="en-AU"/>
        </w:rPr>
        <w:t>most widely used</w:t>
      </w:r>
      <w:r>
        <w:rPr>
          <w:lang w:val="en-AU"/>
        </w:rPr>
        <w:t xml:space="preserve"> MEE data </w:t>
      </w:r>
      <w:r w:rsidR="00587A3B">
        <w:rPr>
          <w:lang w:val="en-AU"/>
        </w:rPr>
        <w:t xml:space="preserve">set is </w:t>
      </w:r>
      <w:r>
        <w:rPr>
          <w:lang w:val="en-AU"/>
        </w:rPr>
        <w:t>the Danish IDA (</w:t>
      </w:r>
      <w:proofErr w:type="spellStart"/>
      <w:r>
        <w:rPr>
          <w:lang w:val="en-AU"/>
        </w:rPr>
        <w:t>Integreret</w:t>
      </w:r>
      <w:proofErr w:type="spellEnd"/>
      <w:r>
        <w:rPr>
          <w:lang w:val="en-AU"/>
        </w:rPr>
        <w:t xml:space="preserve"> Database for </w:t>
      </w:r>
      <w:proofErr w:type="spellStart"/>
      <w:r>
        <w:rPr>
          <w:lang w:val="en-AU"/>
        </w:rPr>
        <w:t>Arbejdsmarkedsforskning</w:t>
      </w:r>
      <w:proofErr w:type="spellEnd"/>
      <w:r>
        <w:rPr>
          <w:lang w:val="en-AU"/>
        </w:rPr>
        <w:t xml:space="preserve">) and various </w:t>
      </w:r>
      <w:r w:rsidR="00EF74A4">
        <w:rPr>
          <w:lang w:val="en-AU"/>
        </w:rPr>
        <w:t>‘</w:t>
      </w:r>
      <w:r>
        <w:rPr>
          <w:lang w:val="en-AU"/>
        </w:rPr>
        <w:t>add-ons</w:t>
      </w:r>
      <w:r w:rsidR="00EF74A4">
        <w:rPr>
          <w:lang w:val="en-AU"/>
        </w:rPr>
        <w:t>’</w:t>
      </w:r>
      <w:r>
        <w:rPr>
          <w:lang w:val="en-AU"/>
        </w:rPr>
        <w:t xml:space="preserve">. </w:t>
      </w:r>
      <w:r>
        <w:rPr>
          <w:lang w:val="en-AU"/>
        </w:rPr>
        <w:lastRenderedPageBreak/>
        <w:t xml:space="preserve">However, </w:t>
      </w:r>
      <w:r w:rsidR="00B02640">
        <w:rPr>
          <w:lang w:val="en-AU"/>
        </w:rPr>
        <w:t xml:space="preserve">similarly structured </w:t>
      </w:r>
      <w:r>
        <w:rPr>
          <w:lang w:val="en-AU"/>
        </w:rPr>
        <w:t xml:space="preserve">administrative data </w:t>
      </w:r>
      <w:r w:rsidR="00B02640">
        <w:rPr>
          <w:lang w:val="en-AU"/>
        </w:rPr>
        <w:t xml:space="preserve">are also </w:t>
      </w:r>
      <w:r>
        <w:rPr>
          <w:lang w:val="en-AU"/>
        </w:rPr>
        <w:t xml:space="preserve">available </w:t>
      </w:r>
      <w:r w:rsidR="00B02640">
        <w:rPr>
          <w:lang w:val="en-AU"/>
        </w:rPr>
        <w:t>for</w:t>
      </w:r>
      <w:r w:rsidR="004C3D2B">
        <w:rPr>
          <w:lang w:val="en-AU"/>
        </w:rPr>
        <w:t xml:space="preserve"> Sweden, Norway, Finland, Germany, the Netherlands, Belgium, France, Austria, Italy, Portugal and the US</w:t>
      </w:r>
      <w:r>
        <w:rPr>
          <w:lang w:val="en-AU"/>
        </w:rPr>
        <w:t xml:space="preserve">. </w:t>
      </w:r>
    </w:p>
    <w:p w:rsidR="00CA1FEA" w:rsidRDefault="00CA1FEA" w:rsidP="00CA1FEA">
      <w:pPr>
        <w:spacing w:line="276" w:lineRule="auto"/>
        <w:rPr>
          <w:lang w:val="en-AU"/>
        </w:rPr>
      </w:pPr>
    </w:p>
    <w:p w:rsidR="00CA1FEA" w:rsidRDefault="00DA7FAD" w:rsidP="00CA1FEA">
      <w:pPr>
        <w:spacing w:line="276" w:lineRule="auto"/>
        <w:rPr>
          <w:i/>
          <w:lang w:val="en-AU"/>
        </w:rPr>
      </w:pPr>
      <w:r>
        <w:rPr>
          <w:i/>
          <w:lang w:val="en-AU"/>
        </w:rPr>
        <w:t>5.1</w:t>
      </w:r>
      <w:r w:rsidR="00CA1FEA" w:rsidRPr="007227E0">
        <w:rPr>
          <w:i/>
          <w:lang w:val="en-AU"/>
        </w:rPr>
        <w:t xml:space="preserve"> </w:t>
      </w:r>
      <w:r w:rsidR="00CA1FEA">
        <w:rPr>
          <w:i/>
          <w:lang w:val="en-AU"/>
        </w:rPr>
        <w:t xml:space="preserve">The Prototypical </w:t>
      </w:r>
      <w:r w:rsidR="00BB1A8C">
        <w:rPr>
          <w:i/>
          <w:lang w:val="en-AU"/>
        </w:rPr>
        <w:t>M</w:t>
      </w:r>
      <w:r w:rsidR="0074716E">
        <w:rPr>
          <w:i/>
          <w:lang w:val="en-AU"/>
        </w:rPr>
        <w:t>E</w:t>
      </w:r>
      <w:r w:rsidR="00BB1A8C">
        <w:rPr>
          <w:i/>
          <w:lang w:val="en-AU"/>
        </w:rPr>
        <w:t>E</w:t>
      </w:r>
      <w:r w:rsidR="00CA1FEA">
        <w:rPr>
          <w:i/>
          <w:lang w:val="en-AU"/>
        </w:rPr>
        <w:t xml:space="preserve"> Dataset</w:t>
      </w:r>
    </w:p>
    <w:p w:rsidR="00CA1FEA" w:rsidRDefault="00CA1FEA" w:rsidP="00CA1FEA">
      <w:pPr>
        <w:spacing w:line="276" w:lineRule="auto"/>
        <w:rPr>
          <w:i/>
          <w:lang w:val="en-AU"/>
        </w:rPr>
      </w:pPr>
    </w:p>
    <w:p w:rsidR="00CA1FEA" w:rsidRDefault="00CA1FEA" w:rsidP="00CA1FEA">
      <w:pPr>
        <w:spacing w:line="276" w:lineRule="auto"/>
        <w:rPr>
          <w:lang w:val="en-AU"/>
        </w:rPr>
      </w:pPr>
      <w:r>
        <w:rPr>
          <w:lang w:val="en-AU"/>
        </w:rPr>
        <w:t>The defining feature of a MEE dataset is the presence of</w:t>
      </w:r>
      <w:r w:rsidR="00587A3B">
        <w:rPr>
          <w:lang w:val="en-AU"/>
        </w:rPr>
        <w:t xml:space="preserve"> both</w:t>
      </w:r>
      <w:r>
        <w:rPr>
          <w:lang w:val="en-AU"/>
        </w:rPr>
        <w:t xml:space="preserve"> worker and firm identifiers which allow the researcher to observe which workers are employed in which firms at a given point in time. The data often has a panel structure where individual workers and firms are followed over time and are typically constructed by merging </w:t>
      </w:r>
      <w:r w:rsidR="00A0210A">
        <w:rPr>
          <w:lang w:val="en-AU"/>
        </w:rPr>
        <w:t xml:space="preserve">many </w:t>
      </w:r>
      <w:r>
        <w:rPr>
          <w:lang w:val="en-AU"/>
        </w:rPr>
        <w:t>administrative registers. Hence, the typical MEE dataset is very large in both the cross-section and the time dimension, often representing entire populations followed for decades. There are examples of much smaller and shorter MEE datasets</w:t>
      </w:r>
      <w:r w:rsidR="00EF74A4">
        <w:rPr>
          <w:lang w:val="en-AU"/>
        </w:rPr>
        <w:t>.</w:t>
      </w:r>
      <w:r>
        <w:rPr>
          <w:lang w:val="en-AU"/>
        </w:rPr>
        <w:t xml:space="preserve"> </w:t>
      </w:r>
      <w:r w:rsidR="00EF74A4">
        <w:rPr>
          <w:lang w:val="en-AU"/>
        </w:rPr>
        <w:t>S</w:t>
      </w:r>
      <w:r>
        <w:rPr>
          <w:lang w:val="en-AU"/>
        </w:rPr>
        <w:t xml:space="preserve">ee Bailey, Berg and Sandy </w:t>
      </w:r>
      <w:r w:rsidR="00EF74A4">
        <w:rPr>
          <w:lang w:val="en-AU"/>
        </w:rPr>
        <w:t>(</w:t>
      </w:r>
      <w:r>
        <w:rPr>
          <w:lang w:val="en-AU"/>
        </w:rPr>
        <w:t>2001)</w:t>
      </w:r>
      <w:r w:rsidR="00A0210A">
        <w:rPr>
          <w:lang w:val="en-AU"/>
        </w:rPr>
        <w:t>.</w:t>
      </w:r>
    </w:p>
    <w:p w:rsidR="00CA1FEA" w:rsidRDefault="00CA1FEA" w:rsidP="00CA1FEA">
      <w:pPr>
        <w:spacing w:line="276" w:lineRule="auto"/>
        <w:rPr>
          <w:lang w:val="en-AU"/>
        </w:rPr>
      </w:pPr>
    </w:p>
    <w:p w:rsidR="00CA1FEA" w:rsidRDefault="003C3518" w:rsidP="00CA1FEA">
      <w:pPr>
        <w:spacing w:line="276" w:lineRule="auto"/>
        <w:rPr>
          <w:lang w:val="en-AU"/>
        </w:rPr>
      </w:pPr>
      <w:r>
        <w:rPr>
          <w:lang w:val="en-AU"/>
        </w:rPr>
        <w:t>Working</w:t>
      </w:r>
      <w:r w:rsidR="00CA1FEA">
        <w:rPr>
          <w:lang w:val="en-AU"/>
        </w:rPr>
        <w:t xml:space="preserve"> with MEE data</w:t>
      </w:r>
      <w:r>
        <w:rPr>
          <w:lang w:val="en-AU"/>
        </w:rPr>
        <w:t xml:space="preserve"> has several advantages</w:t>
      </w:r>
      <w:r w:rsidR="00CA1FEA">
        <w:rPr>
          <w:lang w:val="en-AU"/>
        </w:rPr>
        <w:t xml:space="preserve">. First, both demand and supply side heterogeneity may be incorporated into the analysis. Second, the size of the typical MEE dataset allows the researcher to document a tremendous amount of heterogeneity in most outcomes of interest. Moreover, since firms employ multiple workers, observed heterogeneity can often be decomposed into within- and between firm components. Third, since </w:t>
      </w:r>
      <w:r w:rsidR="0024631D">
        <w:rPr>
          <w:lang w:val="en-AU"/>
        </w:rPr>
        <w:t xml:space="preserve">most </w:t>
      </w:r>
      <w:r w:rsidR="00CA1FEA">
        <w:rPr>
          <w:lang w:val="en-AU"/>
        </w:rPr>
        <w:t>MEE data</w:t>
      </w:r>
      <w:r w:rsidR="006F7F88">
        <w:rPr>
          <w:lang w:val="en-AU"/>
        </w:rPr>
        <w:t xml:space="preserve"> </w:t>
      </w:r>
      <w:r w:rsidR="00CA1FEA">
        <w:rPr>
          <w:lang w:val="en-AU"/>
        </w:rPr>
        <w:t>set</w:t>
      </w:r>
      <w:r w:rsidR="006F7F88">
        <w:rPr>
          <w:lang w:val="en-AU"/>
        </w:rPr>
        <w:t>s</w:t>
      </w:r>
      <w:r w:rsidR="00CA1FEA">
        <w:rPr>
          <w:lang w:val="en-AU"/>
        </w:rPr>
        <w:t xml:space="preserve"> are constructed from administrative records, they</w:t>
      </w:r>
      <w:r w:rsidR="0024631D">
        <w:rPr>
          <w:lang w:val="en-AU"/>
        </w:rPr>
        <w:t xml:space="preserve"> are likely to</w:t>
      </w:r>
      <w:r w:rsidR="00CA1FEA">
        <w:rPr>
          <w:lang w:val="en-AU"/>
        </w:rPr>
        <w:t xml:space="preserve"> contain </w:t>
      </w:r>
      <w:r w:rsidR="00EF74A4">
        <w:rPr>
          <w:lang w:val="en-AU"/>
        </w:rPr>
        <w:t xml:space="preserve">much less </w:t>
      </w:r>
      <w:r w:rsidR="00CA1FEA">
        <w:rPr>
          <w:lang w:val="en-AU"/>
        </w:rPr>
        <w:t>measurement error</w:t>
      </w:r>
      <w:r w:rsidR="00B65E12">
        <w:rPr>
          <w:lang w:val="en-AU"/>
        </w:rPr>
        <w:t xml:space="preserve"> </w:t>
      </w:r>
      <w:r w:rsidR="00EF74A4">
        <w:rPr>
          <w:lang w:val="en-AU"/>
        </w:rPr>
        <w:t>than</w:t>
      </w:r>
      <w:r w:rsidR="00B65E12">
        <w:rPr>
          <w:lang w:val="en-AU"/>
        </w:rPr>
        <w:t xml:space="preserve"> </w:t>
      </w:r>
      <w:r w:rsidR="0024631D">
        <w:rPr>
          <w:lang w:val="en-AU"/>
        </w:rPr>
        <w:t xml:space="preserve">survey data </w:t>
      </w:r>
      <w:r w:rsidR="00EF74A4">
        <w:rPr>
          <w:lang w:val="en-AU"/>
        </w:rPr>
        <w:t>or</w:t>
      </w:r>
      <w:r w:rsidR="0024631D">
        <w:rPr>
          <w:lang w:val="en-AU"/>
        </w:rPr>
        <w:t xml:space="preserve"> hand</w:t>
      </w:r>
      <w:r w:rsidR="00F33268">
        <w:rPr>
          <w:lang w:val="en-AU"/>
        </w:rPr>
        <w:t>-</w:t>
      </w:r>
      <w:proofErr w:type="spellStart"/>
      <w:r w:rsidR="0024631D">
        <w:rPr>
          <w:lang w:val="en-AU"/>
        </w:rPr>
        <w:t>transcriped</w:t>
      </w:r>
      <w:proofErr w:type="spellEnd"/>
      <w:r w:rsidR="0024631D">
        <w:rPr>
          <w:lang w:val="en-AU"/>
        </w:rPr>
        <w:t xml:space="preserve"> historical data.</w:t>
      </w:r>
    </w:p>
    <w:p w:rsidR="00CA1FEA" w:rsidRDefault="00CA1FEA" w:rsidP="00CA1FEA">
      <w:pPr>
        <w:spacing w:line="276" w:lineRule="auto"/>
        <w:rPr>
          <w:lang w:val="en-AU"/>
        </w:rPr>
      </w:pPr>
    </w:p>
    <w:p w:rsidR="00FE33E4" w:rsidRDefault="00CA1FEA" w:rsidP="00CA1FEA">
      <w:pPr>
        <w:spacing w:line="276" w:lineRule="auto"/>
        <w:rPr>
          <w:lang w:val="en-AU"/>
        </w:rPr>
      </w:pPr>
      <w:r>
        <w:rPr>
          <w:lang w:val="en-AU"/>
        </w:rPr>
        <w:t xml:space="preserve">Still, MEE data is no panacea. The drawbacks include a tendency to have rather rudimentary background information on firms, and the lack of subjective information </w:t>
      </w:r>
      <w:r w:rsidR="00955777">
        <w:rPr>
          <w:lang w:val="en-AU"/>
        </w:rPr>
        <w:t>(</w:t>
      </w:r>
      <w:r w:rsidR="003C3518">
        <w:rPr>
          <w:lang w:val="en-AU"/>
        </w:rPr>
        <w:t xml:space="preserve">e.g. </w:t>
      </w:r>
      <w:r>
        <w:rPr>
          <w:lang w:val="en-AU"/>
        </w:rPr>
        <w:t>expectations</w:t>
      </w:r>
      <w:r w:rsidR="00955777">
        <w:rPr>
          <w:lang w:val="en-AU"/>
        </w:rPr>
        <w:t>) or</w:t>
      </w:r>
      <w:r>
        <w:rPr>
          <w:lang w:val="en-AU"/>
        </w:rPr>
        <w:t xml:space="preserve"> contextual information </w:t>
      </w:r>
      <w:r w:rsidR="00955777">
        <w:rPr>
          <w:lang w:val="en-AU"/>
        </w:rPr>
        <w:t>(</w:t>
      </w:r>
      <w:r w:rsidR="003C3518">
        <w:rPr>
          <w:lang w:val="en-AU"/>
        </w:rPr>
        <w:t xml:space="preserve">e.g. </w:t>
      </w:r>
      <w:r>
        <w:rPr>
          <w:lang w:val="en-AU"/>
        </w:rPr>
        <w:t>work environment</w:t>
      </w:r>
      <w:r w:rsidR="00955777">
        <w:rPr>
          <w:lang w:val="en-AU"/>
        </w:rPr>
        <w:t>)</w:t>
      </w:r>
      <w:r>
        <w:rPr>
          <w:lang w:val="en-AU"/>
        </w:rPr>
        <w:t xml:space="preserve">. </w:t>
      </w:r>
      <w:r w:rsidR="003C3518">
        <w:rPr>
          <w:lang w:val="en-AU"/>
        </w:rPr>
        <w:t>These</w:t>
      </w:r>
      <w:r>
        <w:rPr>
          <w:lang w:val="en-AU"/>
        </w:rPr>
        <w:t xml:space="preserve"> concerns can be somewhat alleviated by merging MEE data with firm-level survey data. This approach is taken by some of the studies </w:t>
      </w:r>
      <w:r>
        <w:rPr>
          <w:lang w:val="en-GB"/>
        </w:rPr>
        <w:t xml:space="preserve">we cite further below. A final drawback worth mentioning here is the restricted </w:t>
      </w:r>
      <w:r w:rsidR="003C3518">
        <w:rPr>
          <w:lang w:val="en-GB"/>
        </w:rPr>
        <w:t xml:space="preserve">accessibility </w:t>
      </w:r>
      <w:r>
        <w:rPr>
          <w:lang w:val="en-GB"/>
        </w:rPr>
        <w:t>of MEE data.</w:t>
      </w:r>
    </w:p>
    <w:p w:rsidR="00FE33E4" w:rsidRDefault="00FE33E4" w:rsidP="00FE33E4">
      <w:pPr>
        <w:spacing w:line="276" w:lineRule="auto"/>
        <w:rPr>
          <w:lang w:val="en-AU"/>
        </w:rPr>
      </w:pPr>
    </w:p>
    <w:p w:rsidR="00B911E6" w:rsidRDefault="00DA7FAD" w:rsidP="00B911E6">
      <w:pPr>
        <w:spacing w:line="276" w:lineRule="auto"/>
        <w:rPr>
          <w:i/>
          <w:lang w:val="en-AU"/>
        </w:rPr>
      </w:pPr>
      <w:r>
        <w:rPr>
          <w:i/>
          <w:lang w:val="en-AU"/>
        </w:rPr>
        <w:t>5.2</w:t>
      </w:r>
      <w:r w:rsidR="00B911E6" w:rsidRPr="007227E0">
        <w:rPr>
          <w:i/>
          <w:lang w:val="en-AU"/>
        </w:rPr>
        <w:t xml:space="preserve"> </w:t>
      </w:r>
      <w:r w:rsidR="00BB1A8C">
        <w:rPr>
          <w:i/>
          <w:lang w:val="en-AU"/>
        </w:rPr>
        <w:t>M</w:t>
      </w:r>
      <w:r w:rsidR="0074716E">
        <w:rPr>
          <w:i/>
          <w:lang w:val="en-AU"/>
        </w:rPr>
        <w:t>E</w:t>
      </w:r>
      <w:r w:rsidR="00BB1A8C">
        <w:rPr>
          <w:i/>
          <w:lang w:val="en-AU"/>
        </w:rPr>
        <w:t>E</w:t>
      </w:r>
      <w:r w:rsidR="003C3518">
        <w:rPr>
          <w:i/>
          <w:lang w:val="en-AU"/>
        </w:rPr>
        <w:t xml:space="preserve"> </w:t>
      </w:r>
      <w:r w:rsidR="00B911E6">
        <w:rPr>
          <w:i/>
          <w:lang w:val="en-AU"/>
        </w:rPr>
        <w:t>Data in Applied Personnel Economics</w:t>
      </w:r>
    </w:p>
    <w:p w:rsidR="00B911E6" w:rsidRDefault="00B911E6" w:rsidP="00B911E6">
      <w:pPr>
        <w:spacing w:line="276" w:lineRule="auto"/>
        <w:rPr>
          <w:i/>
          <w:lang w:val="en-AU"/>
        </w:rPr>
      </w:pPr>
    </w:p>
    <w:p w:rsidR="00B911E6" w:rsidRDefault="005B4650" w:rsidP="00861EFB">
      <w:pPr>
        <w:spacing w:after="200" w:line="276" w:lineRule="auto"/>
        <w:rPr>
          <w:lang w:val="en-AU"/>
        </w:rPr>
      </w:pPr>
      <w:r>
        <w:rPr>
          <w:lang w:val="en-AU"/>
        </w:rPr>
        <w:t>R</w:t>
      </w:r>
      <w:r w:rsidR="00B911E6">
        <w:rPr>
          <w:lang w:val="en-AU"/>
        </w:rPr>
        <w:t xml:space="preserve">ecent work by a number of scholars published in </w:t>
      </w:r>
      <w:proofErr w:type="spellStart"/>
      <w:r w:rsidR="00B911E6">
        <w:rPr>
          <w:lang w:val="en-AU"/>
        </w:rPr>
        <w:t>Lazear</w:t>
      </w:r>
      <w:proofErr w:type="spellEnd"/>
      <w:r w:rsidR="00B911E6">
        <w:rPr>
          <w:lang w:val="en-AU"/>
        </w:rPr>
        <w:t xml:space="preserve"> and Shaw (2009</w:t>
      </w:r>
      <w:r>
        <w:rPr>
          <w:lang w:val="en-AU"/>
        </w:rPr>
        <w:t>) attempt</w:t>
      </w:r>
      <w:r w:rsidR="00852861">
        <w:rPr>
          <w:lang w:val="en-AU"/>
        </w:rPr>
        <w:t>s</w:t>
      </w:r>
      <w:r>
        <w:rPr>
          <w:lang w:val="en-AU"/>
        </w:rPr>
        <w:t xml:space="preserve"> to </w:t>
      </w:r>
      <w:r w:rsidR="00B911E6">
        <w:rPr>
          <w:lang w:val="en-AU"/>
        </w:rPr>
        <w:t xml:space="preserve">understand the structure of wages (and wage growth) within and between firms, and how the wage structure is related to worker mobility. The book brings together </w:t>
      </w:r>
      <w:r>
        <w:rPr>
          <w:lang w:val="en-AU"/>
        </w:rPr>
        <w:t>studies</w:t>
      </w:r>
      <w:r w:rsidR="00B911E6">
        <w:rPr>
          <w:lang w:val="en-AU"/>
        </w:rPr>
        <w:t xml:space="preserve"> carried out on M</w:t>
      </w:r>
      <w:r w:rsidR="0074716E">
        <w:rPr>
          <w:lang w:val="en-AU"/>
        </w:rPr>
        <w:t>E</w:t>
      </w:r>
      <w:r w:rsidR="00B911E6">
        <w:rPr>
          <w:lang w:val="en-AU"/>
        </w:rPr>
        <w:t xml:space="preserve">E data from the US, Denmark, the Netherlands, Finland, Belgium, Sweden, Germany, Norway, Italy and France. </w:t>
      </w:r>
      <w:proofErr w:type="spellStart"/>
      <w:r w:rsidR="00B911E6">
        <w:rPr>
          <w:lang w:val="en-AU"/>
        </w:rPr>
        <w:t>Lazear</w:t>
      </w:r>
      <w:proofErr w:type="spellEnd"/>
      <w:r w:rsidR="00B911E6">
        <w:rPr>
          <w:lang w:val="en-AU"/>
        </w:rPr>
        <w:t xml:space="preserve"> and Shaw sum up the empirical findings as follows: First, within-firm wage variation accounts for about 60-80 percent of total wage dispersion. Second, between-firm wage variation appears to</w:t>
      </w:r>
      <w:r w:rsidR="00587A3B">
        <w:rPr>
          <w:lang w:val="en-AU"/>
        </w:rPr>
        <w:t xml:space="preserve"> have</w:t>
      </w:r>
      <w:r w:rsidR="00B911E6">
        <w:rPr>
          <w:lang w:val="en-AU"/>
        </w:rPr>
        <w:t xml:space="preserve"> grow</w:t>
      </w:r>
      <w:r w:rsidR="00587A3B">
        <w:rPr>
          <w:lang w:val="en-AU"/>
        </w:rPr>
        <w:t>n</w:t>
      </w:r>
      <w:r w:rsidR="00B911E6">
        <w:rPr>
          <w:lang w:val="en-AU"/>
        </w:rPr>
        <w:t xml:space="preserve"> over time. Third, within-firm wage growth exhibits a considerable amount of variance. Fourth, high wage firms have lower turnover.</w:t>
      </w:r>
    </w:p>
    <w:p w:rsidR="00B911E6" w:rsidRPr="004F49D3" w:rsidRDefault="00DA7FAD" w:rsidP="00B911E6">
      <w:pPr>
        <w:spacing w:line="276" w:lineRule="auto"/>
        <w:rPr>
          <w:i/>
          <w:lang w:val="en-AU"/>
        </w:rPr>
      </w:pPr>
      <w:r>
        <w:rPr>
          <w:i/>
          <w:lang w:val="en-AU"/>
        </w:rPr>
        <w:t>5.2</w:t>
      </w:r>
      <w:proofErr w:type="gramStart"/>
      <w:r>
        <w:rPr>
          <w:i/>
          <w:lang w:val="en-AU"/>
        </w:rPr>
        <w:t>.a</w:t>
      </w:r>
      <w:proofErr w:type="gramEnd"/>
      <w:r>
        <w:rPr>
          <w:i/>
          <w:lang w:val="en-AU"/>
        </w:rPr>
        <w:t xml:space="preserve"> </w:t>
      </w:r>
      <w:r w:rsidR="00B911E6" w:rsidRPr="004F49D3">
        <w:rPr>
          <w:i/>
          <w:lang w:val="en-AU"/>
        </w:rPr>
        <w:t>Within-</w:t>
      </w:r>
      <w:r w:rsidR="00F33268">
        <w:rPr>
          <w:i/>
          <w:lang w:val="en-AU"/>
        </w:rPr>
        <w:t>F</w:t>
      </w:r>
      <w:r w:rsidR="00B911E6" w:rsidRPr="004F49D3">
        <w:rPr>
          <w:i/>
          <w:lang w:val="en-AU"/>
        </w:rPr>
        <w:t xml:space="preserve">irm </w:t>
      </w:r>
      <w:r w:rsidR="00F33268">
        <w:rPr>
          <w:i/>
          <w:lang w:val="en-AU"/>
        </w:rPr>
        <w:t>I</w:t>
      </w:r>
      <w:r w:rsidR="00B911E6" w:rsidRPr="004F49D3">
        <w:rPr>
          <w:i/>
          <w:lang w:val="en-AU"/>
        </w:rPr>
        <w:t>ndividual</w:t>
      </w:r>
      <w:r w:rsidR="00F33268">
        <w:rPr>
          <w:i/>
          <w:lang w:val="en-AU"/>
        </w:rPr>
        <w:t>-L</w:t>
      </w:r>
      <w:r w:rsidR="00B911E6" w:rsidRPr="004F49D3">
        <w:rPr>
          <w:i/>
          <w:lang w:val="en-AU"/>
        </w:rPr>
        <w:t xml:space="preserve">evel </w:t>
      </w:r>
      <w:r w:rsidR="00F33268">
        <w:rPr>
          <w:i/>
          <w:lang w:val="en-AU"/>
        </w:rPr>
        <w:t>W</w:t>
      </w:r>
      <w:r w:rsidR="00B911E6" w:rsidRPr="004F49D3">
        <w:rPr>
          <w:i/>
          <w:lang w:val="en-AU"/>
        </w:rPr>
        <w:t xml:space="preserve">age </w:t>
      </w:r>
      <w:r w:rsidR="00F33268">
        <w:rPr>
          <w:i/>
          <w:lang w:val="en-AU"/>
        </w:rPr>
        <w:t>F</w:t>
      </w:r>
      <w:r w:rsidR="00B911E6" w:rsidRPr="004F49D3">
        <w:rPr>
          <w:i/>
          <w:lang w:val="en-AU"/>
        </w:rPr>
        <w:t>ormation</w:t>
      </w:r>
    </w:p>
    <w:p w:rsidR="00B911E6" w:rsidRPr="00D75AE9" w:rsidRDefault="00B911E6" w:rsidP="00B911E6">
      <w:pPr>
        <w:spacing w:line="276" w:lineRule="auto"/>
        <w:rPr>
          <w:lang w:val="en-AU"/>
        </w:rPr>
      </w:pPr>
    </w:p>
    <w:p w:rsidR="00B911E6" w:rsidRDefault="00B911E6" w:rsidP="00B911E6">
      <w:pPr>
        <w:spacing w:after="200" w:line="276" w:lineRule="auto"/>
        <w:rPr>
          <w:lang w:val="en-AU"/>
        </w:rPr>
      </w:pPr>
      <w:r>
        <w:rPr>
          <w:lang w:val="en-AU"/>
        </w:rPr>
        <w:t>Using administrative MEE data from Portugal, Cardoso (2000) analyse</w:t>
      </w:r>
      <w:r w:rsidR="006F7F88">
        <w:rPr>
          <w:lang w:val="en-AU"/>
        </w:rPr>
        <w:t>s</w:t>
      </w:r>
      <w:r>
        <w:rPr>
          <w:lang w:val="en-AU"/>
        </w:rPr>
        <w:t xml:space="preserve"> heterogeneity in firms’ wage policies. Cardoso applies a flexible empirical model that allows for firm-specific </w:t>
      </w:r>
      <w:r>
        <w:rPr>
          <w:lang w:val="en-AU"/>
        </w:rPr>
        <w:lastRenderedPageBreak/>
        <w:t>rewards for tenure, experience, schooling</w:t>
      </w:r>
      <w:r w:rsidR="00F917F0">
        <w:rPr>
          <w:lang w:val="en-AU"/>
        </w:rPr>
        <w:t>,</w:t>
      </w:r>
      <w:r>
        <w:rPr>
          <w:lang w:val="en-AU"/>
        </w:rPr>
        <w:t xml:space="preserve"> etc. She finds statistically significant differences in many dimensions of firms’ wage policies, including returns to education, tenure, experience and the gender wage gap.</w:t>
      </w:r>
    </w:p>
    <w:p w:rsidR="00B911E6" w:rsidRDefault="00B911E6" w:rsidP="00B911E6">
      <w:pPr>
        <w:spacing w:after="200" w:line="276" w:lineRule="auto"/>
        <w:rPr>
          <w:lang w:val="en-AU"/>
        </w:rPr>
      </w:pPr>
      <w:r>
        <w:rPr>
          <w:lang w:val="en-AU"/>
        </w:rPr>
        <w:t xml:space="preserve">Bingley and </w:t>
      </w:r>
      <w:proofErr w:type="spellStart"/>
      <w:r>
        <w:rPr>
          <w:lang w:val="en-AU"/>
        </w:rPr>
        <w:t>Westergaard</w:t>
      </w:r>
      <w:proofErr w:type="spellEnd"/>
      <w:r>
        <w:rPr>
          <w:lang w:val="en-AU"/>
        </w:rPr>
        <w:t xml:space="preserve">-Nielsen (2003) re-assess whether wages exhibit </w:t>
      </w:r>
      <w:r w:rsidR="00EF74A4">
        <w:rPr>
          <w:lang w:val="en-AU"/>
        </w:rPr>
        <w:t>‘</w:t>
      </w:r>
      <w:r>
        <w:rPr>
          <w:lang w:val="en-AU"/>
        </w:rPr>
        <w:t>returns to tenure</w:t>
      </w:r>
      <w:r w:rsidR="00EF74A4">
        <w:rPr>
          <w:lang w:val="en-AU"/>
        </w:rPr>
        <w:t>’</w:t>
      </w:r>
      <w:r>
        <w:rPr>
          <w:lang w:val="en-AU"/>
        </w:rPr>
        <w:t xml:space="preserve"> using </w:t>
      </w:r>
      <w:r w:rsidR="00955777">
        <w:rPr>
          <w:lang w:val="en-AU"/>
        </w:rPr>
        <w:t xml:space="preserve">the </w:t>
      </w:r>
      <w:r>
        <w:rPr>
          <w:lang w:val="en-AU"/>
        </w:rPr>
        <w:t xml:space="preserve">Danish </w:t>
      </w:r>
      <w:r w:rsidR="00955777">
        <w:rPr>
          <w:lang w:val="en-AU"/>
        </w:rPr>
        <w:t>IDA</w:t>
      </w:r>
      <w:r>
        <w:rPr>
          <w:lang w:val="en-AU"/>
        </w:rPr>
        <w:t xml:space="preserve"> data for 1980-98, a period marked by increas</w:t>
      </w:r>
      <w:r w:rsidR="00F917F0">
        <w:rPr>
          <w:lang w:val="en-AU"/>
        </w:rPr>
        <w:t>ingly</w:t>
      </w:r>
      <w:r>
        <w:rPr>
          <w:lang w:val="en-AU"/>
        </w:rPr>
        <w:t xml:space="preserve"> decentralized wage setting. The authors identify returns to tenure from exogenous worker mobility via plant closures. </w:t>
      </w:r>
      <w:r w:rsidR="00CB3E68">
        <w:rPr>
          <w:lang w:val="en-AU"/>
        </w:rPr>
        <w:t>They</w:t>
      </w:r>
      <w:r>
        <w:rPr>
          <w:lang w:val="en-AU"/>
        </w:rPr>
        <w:t xml:space="preserve"> find an increase in the measured returns to tenure during the observed period, suggesting firms use wages strategically to retain workers. They also find firm-level heterogeneity in returns to tenure.</w:t>
      </w:r>
    </w:p>
    <w:p w:rsidR="00B911E6" w:rsidRDefault="00B911E6" w:rsidP="00B911E6">
      <w:pPr>
        <w:spacing w:after="200" w:line="276" w:lineRule="auto"/>
        <w:rPr>
          <w:lang w:val="en-AU"/>
        </w:rPr>
      </w:pPr>
      <w:proofErr w:type="spellStart"/>
      <w:r>
        <w:rPr>
          <w:lang w:val="en-AU"/>
        </w:rPr>
        <w:t>Guiso</w:t>
      </w:r>
      <w:proofErr w:type="spellEnd"/>
      <w:r>
        <w:rPr>
          <w:lang w:val="en-AU"/>
        </w:rPr>
        <w:t xml:space="preserve">, </w:t>
      </w:r>
      <w:proofErr w:type="spellStart"/>
      <w:r>
        <w:rPr>
          <w:lang w:val="en-AU"/>
        </w:rPr>
        <w:t>Pistaferri</w:t>
      </w:r>
      <w:proofErr w:type="spellEnd"/>
      <w:r>
        <w:rPr>
          <w:lang w:val="en-AU"/>
        </w:rPr>
        <w:t xml:space="preserve"> and </w:t>
      </w:r>
      <w:proofErr w:type="spellStart"/>
      <w:r>
        <w:rPr>
          <w:lang w:val="en-AU"/>
        </w:rPr>
        <w:t>Schivardi</w:t>
      </w:r>
      <w:proofErr w:type="spellEnd"/>
      <w:r>
        <w:rPr>
          <w:lang w:val="en-AU"/>
        </w:rPr>
        <w:t xml:space="preserve"> (2005) consider whether risk-neutral firms </w:t>
      </w:r>
      <w:r w:rsidR="00587A3B">
        <w:rPr>
          <w:lang w:val="en-AU"/>
        </w:rPr>
        <w:t>i</w:t>
      </w:r>
      <w:r>
        <w:rPr>
          <w:lang w:val="en-AU"/>
        </w:rPr>
        <w:t xml:space="preserve">nsure risk-averse workers against idiosyncratic firm-level shocks. The empirical analysis is carried out using Italian </w:t>
      </w:r>
      <w:proofErr w:type="spellStart"/>
      <w:r w:rsidR="00955777">
        <w:rPr>
          <w:lang w:val="en-GB"/>
        </w:rPr>
        <w:t>Centrale</w:t>
      </w:r>
      <w:proofErr w:type="spellEnd"/>
      <w:r w:rsidR="00955777">
        <w:rPr>
          <w:lang w:val="en-GB"/>
        </w:rPr>
        <w:t xml:space="preserve"> Dei </w:t>
      </w:r>
      <w:proofErr w:type="spellStart"/>
      <w:r w:rsidR="00955777">
        <w:rPr>
          <w:lang w:val="en-GB"/>
        </w:rPr>
        <w:t>Bilanci</w:t>
      </w:r>
      <w:proofErr w:type="spellEnd"/>
      <w:r w:rsidR="00955777">
        <w:rPr>
          <w:lang w:val="en-GB"/>
        </w:rPr>
        <w:t xml:space="preserve"> (firm-level) and </w:t>
      </w:r>
      <w:proofErr w:type="spellStart"/>
      <w:r w:rsidR="00955777">
        <w:rPr>
          <w:lang w:val="en-GB"/>
        </w:rPr>
        <w:t>Instituto</w:t>
      </w:r>
      <w:proofErr w:type="spellEnd"/>
      <w:r w:rsidR="00955777">
        <w:rPr>
          <w:lang w:val="en-GB"/>
        </w:rPr>
        <w:t xml:space="preserve"> </w:t>
      </w:r>
      <w:proofErr w:type="spellStart"/>
      <w:r w:rsidR="00955777">
        <w:rPr>
          <w:lang w:val="en-GB"/>
        </w:rPr>
        <w:t>Nazionale</w:t>
      </w:r>
      <w:proofErr w:type="spellEnd"/>
      <w:r w:rsidR="00955777">
        <w:rPr>
          <w:lang w:val="en-GB"/>
        </w:rPr>
        <w:t xml:space="preserve"> </w:t>
      </w:r>
      <w:proofErr w:type="spellStart"/>
      <w:proofErr w:type="gramStart"/>
      <w:r w:rsidR="00955777">
        <w:rPr>
          <w:lang w:val="en-GB"/>
        </w:rPr>
        <w:t>della</w:t>
      </w:r>
      <w:proofErr w:type="spellEnd"/>
      <w:proofErr w:type="gramEnd"/>
      <w:r w:rsidR="00955777">
        <w:rPr>
          <w:lang w:val="en-GB"/>
        </w:rPr>
        <w:t xml:space="preserve"> </w:t>
      </w:r>
      <w:proofErr w:type="spellStart"/>
      <w:r w:rsidR="00955777">
        <w:rPr>
          <w:lang w:val="en-GB"/>
        </w:rPr>
        <w:t>Previdenza</w:t>
      </w:r>
      <w:proofErr w:type="spellEnd"/>
      <w:r w:rsidR="00955777">
        <w:rPr>
          <w:lang w:val="en-GB"/>
        </w:rPr>
        <w:t xml:space="preserve"> </w:t>
      </w:r>
      <w:proofErr w:type="spellStart"/>
      <w:r w:rsidR="00955777">
        <w:rPr>
          <w:lang w:val="en-GB"/>
        </w:rPr>
        <w:t>Sociale</w:t>
      </w:r>
      <w:proofErr w:type="spellEnd"/>
      <w:r w:rsidR="00955777">
        <w:rPr>
          <w:lang w:val="en-GB"/>
        </w:rPr>
        <w:t xml:space="preserve"> (worker-level) </w:t>
      </w:r>
      <w:r w:rsidR="00587A3B">
        <w:rPr>
          <w:lang w:val="en-AU"/>
        </w:rPr>
        <w:t xml:space="preserve">administrative </w:t>
      </w:r>
      <w:r>
        <w:rPr>
          <w:lang w:val="en-AU"/>
        </w:rPr>
        <w:t>data. The data allow the</w:t>
      </w:r>
      <w:r w:rsidR="00587A3B">
        <w:rPr>
          <w:lang w:val="en-AU"/>
        </w:rPr>
        <w:t xml:space="preserve"> authors</w:t>
      </w:r>
      <w:r>
        <w:rPr>
          <w:lang w:val="en-AU"/>
        </w:rPr>
        <w:t xml:space="preserve"> to separately identify the extent to which transitory and permanent firm-level shocks are transmitted to wages. The</w:t>
      </w:r>
      <w:r w:rsidR="00CB3E68">
        <w:rPr>
          <w:lang w:val="en-AU"/>
        </w:rPr>
        <w:t>y</w:t>
      </w:r>
      <w:r>
        <w:rPr>
          <w:lang w:val="en-AU"/>
        </w:rPr>
        <w:t xml:space="preserve"> find that firms insure workers fully against transitory shocks, but only partially against permanent shocks. Using Portuguese </w:t>
      </w:r>
      <w:proofErr w:type="spellStart"/>
      <w:r w:rsidR="00955777">
        <w:rPr>
          <w:lang w:val="en-GB"/>
        </w:rPr>
        <w:t>Quadros</w:t>
      </w:r>
      <w:proofErr w:type="spellEnd"/>
      <w:r w:rsidR="00955777">
        <w:rPr>
          <w:lang w:val="en-GB"/>
        </w:rPr>
        <w:t xml:space="preserve"> de </w:t>
      </w:r>
      <w:proofErr w:type="spellStart"/>
      <w:r w:rsidR="00955777">
        <w:rPr>
          <w:lang w:val="en-GB"/>
        </w:rPr>
        <w:t>Pessoal</w:t>
      </w:r>
      <w:proofErr w:type="spellEnd"/>
      <w:r>
        <w:rPr>
          <w:lang w:val="en-AU"/>
        </w:rPr>
        <w:t xml:space="preserve"> data, Cardoso and </w:t>
      </w:r>
      <w:proofErr w:type="spellStart"/>
      <w:r>
        <w:rPr>
          <w:lang w:val="en-AU"/>
        </w:rPr>
        <w:t>Portela</w:t>
      </w:r>
      <w:proofErr w:type="spellEnd"/>
      <w:r>
        <w:rPr>
          <w:lang w:val="en-AU"/>
        </w:rPr>
        <w:t xml:space="preserve"> (2009) find corroborating evidence for wage insurance within the firm.</w:t>
      </w:r>
    </w:p>
    <w:p w:rsidR="00B911E6" w:rsidRDefault="00B911E6" w:rsidP="00B911E6">
      <w:pPr>
        <w:spacing w:after="200" w:line="276" w:lineRule="auto"/>
        <w:rPr>
          <w:lang w:val="en-AU"/>
        </w:rPr>
      </w:pPr>
      <w:proofErr w:type="spellStart"/>
      <w:r>
        <w:rPr>
          <w:lang w:val="en-AU"/>
        </w:rPr>
        <w:t>Iranzo</w:t>
      </w:r>
      <w:proofErr w:type="spellEnd"/>
      <w:r>
        <w:rPr>
          <w:lang w:val="en-AU"/>
        </w:rPr>
        <w:t xml:space="preserve">, </w:t>
      </w:r>
      <w:proofErr w:type="spellStart"/>
      <w:r>
        <w:rPr>
          <w:lang w:val="en-AU"/>
        </w:rPr>
        <w:t>Schivardi</w:t>
      </w:r>
      <w:proofErr w:type="spellEnd"/>
      <w:r>
        <w:rPr>
          <w:lang w:val="en-AU"/>
        </w:rPr>
        <w:t xml:space="preserve"> and </w:t>
      </w:r>
      <w:proofErr w:type="spellStart"/>
      <w:r>
        <w:rPr>
          <w:lang w:val="en-AU"/>
        </w:rPr>
        <w:t>Tosetti</w:t>
      </w:r>
      <w:proofErr w:type="spellEnd"/>
      <w:r>
        <w:rPr>
          <w:lang w:val="en-AU"/>
        </w:rPr>
        <w:t xml:space="preserve"> (2008) </w:t>
      </w:r>
      <w:r w:rsidR="00ED531D">
        <w:rPr>
          <w:lang w:val="en-AU"/>
        </w:rPr>
        <w:t xml:space="preserve">investigate </w:t>
      </w:r>
      <w:r>
        <w:rPr>
          <w:lang w:val="en-AU"/>
        </w:rPr>
        <w:t>how firm productivity</w:t>
      </w:r>
      <w:r w:rsidR="00F917F0">
        <w:rPr>
          <w:lang w:val="en-AU"/>
        </w:rPr>
        <w:t xml:space="preserve"> is</w:t>
      </w:r>
      <w:r>
        <w:rPr>
          <w:lang w:val="en-AU"/>
        </w:rPr>
        <w:t xml:space="preserve"> related to the skill-mix of the firm’s workforce</w:t>
      </w:r>
      <w:r w:rsidR="00F917F0">
        <w:rPr>
          <w:lang w:val="en-AU"/>
        </w:rPr>
        <w:t>.</w:t>
      </w:r>
      <w:r>
        <w:rPr>
          <w:lang w:val="en-AU"/>
        </w:rPr>
        <w:t xml:space="preserve"> The</w:t>
      </w:r>
      <w:r w:rsidR="00CB3E68">
        <w:rPr>
          <w:lang w:val="en-AU"/>
        </w:rPr>
        <w:t>y</w:t>
      </w:r>
      <w:r>
        <w:rPr>
          <w:lang w:val="en-AU"/>
        </w:rPr>
        <w:t xml:space="preserve"> </w:t>
      </w:r>
      <w:r w:rsidR="008E536B">
        <w:rPr>
          <w:lang w:val="en-AU"/>
        </w:rPr>
        <w:t>examine</w:t>
      </w:r>
      <w:r>
        <w:rPr>
          <w:lang w:val="en-AU"/>
        </w:rPr>
        <w:t xml:space="preserve"> </w:t>
      </w:r>
      <w:r w:rsidR="008E536B">
        <w:rPr>
          <w:lang w:val="en-AU"/>
        </w:rPr>
        <w:t xml:space="preserve">the </w:t>
      </w:r>
      <w:r w:rsidR="008E536B">
        <w:rPr>
          <w:lang w:val="en-GB"/>
        </w:rPr>
        <w:t>Bank of Italy’s INVIND survey of manufacturing firms and data on firms</w:t>
      </w:r>
      <w:r w:rsidR="00F917F0">
        <w:rPr>
          <w:lang w:val="en-GB"/>
        </w:rPr>
        <w:t>’</w:t>
      </w:r>
      <w:r w:rsidR="008E536B">
        <w:rPr>
          <w:lang w:val="en-GB"/>
        </w:rPr>
        <w:t xml:space="preserve"> balance sheets obtained from the Italian Company Accounts Data Service (CADS) </w:t>
      </w:r>
      <w:r>
        <w:rPr>
          <w:lang w:val="en-AU"/>
        </w:rPr>
        <w:t>which allows them to devise a measure of firm-level skill</w:t>
      </w:r>
      <w:r w:rsidR="00F917F0">
        <w:rPr>
          <w:lang w:val="en-AU"/>
        </w:rPr>
        <w:t xml:space="preserve"> </w:t>
      </w:r>
      <w:r>
        <w:rPr>
          <w:lang w:val="en-AU"/>
        </w:rPr>
        <w:t xml:space="preserve">composition that accounts for both observable and unobservable worker skills. The authors estimate a version of (1) and use the within-firm distribution of the estimated worker fixed effects as a measure of the within-firm skill-mix. These skill-mix measures are subsequently used in the estimation of firm-level production functions. Most skill-dispersion appears within occupations, and firms’ productivities are positively related to within-occupation skill dispersion, but negatively related to between-occupation skill dispersion. </w:t>
      </w:r>
    </w:p>
    <w:p w:rsidR="00B911E6" w:rsidRPr="004F49D3" w:rsidRDefault="00DA7FAD" w:rsidP="00B911E6">
      <w:pPr>
        <w:spacing w:after="200" w:line="276" w:lineRule="auto"/>
        <w:rPr>
          <w:i/>
          <w:lang w:val="en-AU"/>
        </w:rPr>
      </w:pPr>
      <w:r>
        <w:rPr>
          <w:i/>
          <w:lang w:val="en-AU"/>
        </w:rPr>
        <w:t>5.2</w:t>
      </w:r>
      <w:proofErr w:type="gramStart"/>
      <w:r>
        <w:rPr>
          <w:i/>
          <w:lang w:val="en-AU"/>
        </w:rPr>
        <w:t>.b</w:t>
      </w:r>
      <w:proofErr w:type="gramEnd"/>
      <w:r>
        <w:rPr>
          <w:i/>
          <w:lang w:val="en-AU"/>
        </w:rPr>
        <w:t xml:space="preserve"> </w:t>
      </w:r>
      <w:r w:rsidR="00B911E6" w:rsidRPr="004F49D3">
        <w:rPr>
          <w:i/>
          <w:lang w:val="en-AU"/>
        </w:rPr>
        <w:t>Human Resource Management</w:t>
      </w:r>
      <w:r w:rsidR="009630AD">
        <w:rPr>
          <w:i/>
          <w:lang w:val="en-AU"/>
        </w:rPr>
        <w:t xml:space="preserve"> (HRM)</w:t>
      </w:r>
      <w:r w:rsidR="00B911E6" w:rsidRPr="004F49D3">
        <w:rPr>
          <w:i/>
          <w:lang w:val="en-AU"/>
        </w:rPr>
        <w:t xml:space="preserve"> </w:t>
      </w:r>
      <w:r w:rsidR="00F33268">
        <w:rPr>
          <w:i/>
          <w:lang w:val="en-AU"/>
        </w:rPr>
        <w:t>P</w:t>
      </w:r>
      <w:r w:rsidR="00B911E6" w:rsidRPr="004F49D3">
        <w:rPr>
          <w:i/>
          <w:lang w:val="en-AU"/>
        </w:rPr>
        <w:t xml:space="preserve">ractices and </w:t>
      </w:r>
      <w:r w:rsidR="00F33268">
        <w:rPr>
          <w:i/>
          <w:lang w:val="en-AU"/>
        </w:rPr>
        <w:t>I</w:t>
      </w:r>
      <w:r w:rsidR="00B911E6" w:rsidRPr="004F49D3">
        <w:rPr>
          <w:i/>
          <w:lang w:val="en-AU"/>
        </w:rPr>
        <w:t xml:space="preserve">ndividual </w:t>
      </w:r>
      <w:r w:rsidR="00F33268">
        <w:rPr>
          <w:i/>
          <w:lang w:val="en-AU"/>
        </w:rPr>
        <w:t>W</w:t>
      </w:r>
      <w:r w:rsidR="00B911E6" w:rsidRPr="004F49D3">
        <w:rPr>
          <w:i/>
          <w:lang w:val="en-AU"/>
        </w:rPr>
        <w:t>ages</w:t>
      </w:r>
    </w:p>
    <w:p w:rsidR="00B911E6" w:rsidRDefault="006F7F88" w:rsidP="00B911E6">
      <w:pPr>
        <w:spacing w:after="200" w:line="276" w:lineRule="auto"/>
        <w:rPr>
          <w:lang w:val="en-AU"/>
        </w:rPr>
      </w:pPr>
      <w:r>
        <w:rPr>
          <w:lang w:val="en-AU"/>
        </w:rPr>
        <w:t xml:space="preserve">Datta </w:t>
      </w:r>
      <w:r w:rsidR="00B911E6">
        <w:rPr>
          <w:lang w:val="en-AU"/>
        </w:rPr>
        <w:t xml:space="preserve">Gupta and Erikson (2012) merge an employer-level survey </w:t>
      </w:r>
      <w:r w:rsidR="00F917F0">
        <w:rPr>
          <w:lang w:val="en-AU"/>
        </w:rPr>
        <w:t xml:space="preserve">containing </w:t>
      </w:r>
      <w:r w:rsidR="00B911E6">
        <w:rPr>
          <w:lang w:val="en-AU"/>
        </w:rPr>
        <w:t xml:space="preserve">detailed information on the adoption of HRM practices with Danish MEE data on the individual workers in the surveyed firm. </w:t>
      </w:r>
      <w:r w:rsidR="00CB3E68">
        <w:rPr>
          <w:lang w:val="en-AU"/>
        </w:rPr>
        <w:t>They</w:t>
      </w:r>
      <w:r w:rsidR="00B911E6">
        <w:rPr>
          <w:lang w:val="en-AU"/>
        </w:rPr>
        <w:t xml:space="preserve"> consider whether the within-firm gender wage gap is influenced by the adoption of HRM practices. They find that women are more likely to be employed in firms adopting new HRM practices, but that HRM practices appear to widen within-firm gender wage gaps.</w:t>
      </w:r>
    </w:p>
    <w:p w:rsidR="00B911E6" w:rsidRDefault="00B911E6" w:rsidP="00B911E6">
      <w:pPr>
        <w:spacing w:after="200" w:line="276" w:lineRule="auto"/>
        <w:rPr>
          <w:lang w:val="en-AU"/>
        </w:rPr>
      </w:pPr>
      <w:r>
        <w:rPr>
          <w:lang w:val="en-AU"/>
        </w:rPr>
        <w:t xml:space="preserve">Bauer and Bender (2001) study the effect of </w:t>
      </w:r>
      <w:r w:rsidR="00EF74A4">
        <w:rPr>
          <w:lang w:val="en-AU"/>
        </w:rPr>
        <w:t>‘</w:t>
      </w:r>
      <w:r>
        <w:rPr>
          <w:lang w:val="en-AU"/>
        </w:rPr>
        <w:t>flexible workplace systems</w:t>
      </w:r>
      <w:r w:rsidR="00EF74A4">
        <w:rPr>
          <w:lang w:val="en-AU"/>
        </w:rPr>
        <w:t>’</w:t>
      </w:r>
      <w:r>
        <w:rPr>
          <w:lang w:val="en-AU"/>
        </w:rPr>
        <w:t xml:space="preserve"> (characterized by team work, job rotation and decentralized decision making, flatter hierarchies</w:t>
      </w:r>
      <w:r w:rsidR="00852861">
        <w:rPr>
          <w:lang w:val="en-AU"/>
        </w:rPr>
        <w:t>,</w:t>
      </w:r>
      <w:r>
        <w:rPr>
          <w:lang w:val="en-AU"/>
        </w:rPr>
        <w:t xml:space="preserve"> etc.) on individual wages. The empirical analysis is carried out using German </w:t>
      </w:r>
      <w:r w:rsidR="00955777">
        <w:rPr>
          <w:lang w:val="en-GB"/>
        </w:rPr>
        <w:t>IAB (firm level) and Employment Statistics Register (employee level) panel data</w:t>
      </w:r>
      <w:r>
        <w:rPr>
          <w:lang w:val="en-AU"/>
        </w:rPr>
        <w:t xml:space="preserve">. The data allows the authors to consider the entire within-firm wage structure and to address issues arising due to unobserved </w:t>
      </w:r>
      <w:r>
        <w:rPr>
          <w:lang w:val="en-AU"/>
        </w:rPr>
        <w:lastRenderedPageBreak/>
        <w:t xml:space="preserve">establishment characteristics. </w:t>
      </w:r>
      <w:r w:rsidR="00955777">
        <w:rPr>
          <w:lang w:val="en-AU"/>
        </w:rPr>
        <w:t>They</w:t>
      </w:r>
      <w:r>
        <w:rPr>
          <w:lang w:val="en-AU"/>
        </w:rPr>
        <w:t xml:space="preserve"> find that flexible workplace systems are associated with wage gains, al</w:t>
      </w:r>
      <w:r w:rsidR="00955777">
        <w:rPr>
          <w:lang w:val="en-AU"/>
        </w:rPr>
        <w:t>though</w:t>
      </w:r>
      <w:r>
        <w:rPr>
          <w:lang w:val="en-AU"/>
        </w:rPr>
        <w:t xml:space="preserve"> the gains are small in magnitude. </w:t>
      </w:r>
    </w:p>
    <w:p w:rsidR="00B911E6" w:rsidRPr="003A6AE1" w:rsidRDefault="00DA7FAD" w:rsidP="00B911E6">
      <w:pPr>
        <w:spacing w:after="200" w:line="276" w:lineRule="auto"/>
        <w:rPr>
          <w:i/>
          <w:lang w:val="en-AU"/>
        </w:rPr>
      </w:pPr>
      <w:r>
        <w:rPr>
          <w:i/>
          <w:lang w:val="en-AU"/>
        </w:rPr>
        <w:t>5.2</w:t>
      </w:r>
      <w:proofErr w:type="gramStart"/>
      <w:r>
        <w:rPr>
          <w:i/>
          <w:lang w:val="en-AU"/>
        </w:rPr>
        <w:t>.c</w:t>
      </w:r>
      <w:proofErr w:type="gramEnd"/>
      <w:r>
        <w:rPr>
          <w:i/>
          <w:lang w:val="en-AU"/>
        </w:rPr>
        <w:t xml:space="preserve"> </w:t>
      </w:r>
      <w:r w:rsidR="00B911E6" w:rsidRPr="003A6AE1">
        <w:rPr>
          <w:i/>
          <w:lang w:val="en-AU"/>
        </w:rPr>
        <w:t xml:space="preserve">A </w:t>
      </w:r>
      <w:r w:rsidR="00F33268">
        <w:rPr>
          <w:i/>
          <w:lang w:val="en-AU"/>
        </w:rPr>
        <w:t>N</w:t>
      </w:r>
      <w:r w:rsidR="00B911E6" w:rsidRPr="003A6AE1">
        <w:rPr>
          <w:i/>
          <w:lang w:val="en-AU"/>
        </w:rPr>
        <w:t>on-</w:t>
      </w:r>
      <w:r w:rsidR="00F33268">
        <w:rPr>
          <w:i/>
          <w:lang w:val="en-AU"/>
        </w:rPr>
        <w:t>S</w:t>
      </w:r>
      <w:r w:rsidR="00B911E6" w:rsidRPr="003A6AE1">
        <w:rPr>
          <w:i/>
          <w:lang w:val="en-AU"/>
        </w:rPr>
        <w:t xml:space="preserve">tandard, </w:t>
      </w:r>
      <w:r w:rsidR="00F33268">
        <w:rPr>
          <w:i/>
          <w:lang w:val="en-AU"/>
        </w:rPr>
        <w:t>N</w:t>
      </w:r>
      <w:r w:rsidR="00B911E6" w:rsidRPr="003A6AE1">
        <w:rPr>
          <w:i/>
          <w:lang w:val="en-AU"/>
        </w:rPr>
        <w:t>on-</w:t>
      </w:r>
      <w:r w:rsidR="00F33268">
        <w:rPr>
          <w:i/>
          <w:lang w:val="en-AU"/>
        </w:rPr>
        <w:t>A</w:t>
      </w:r>
      <w:r w:rsidR="00B911E6" w:rsidRPr="003A6AE1">
        <w:rPr>
          <w:i/>
          <w:lang w:val="en-AU"/>
        </w:rPr>
        <w:t xml:space="preserve">dministrative MEE </w:t>
      </w:r>
      <w:r w:rsidR="00F33268">
        <w:rPr>
          <w:i/>
          <w:lang w:val="en-AU"/>
        </w:rPr>
        <w:t>D</w:t>
      </w:r>
      <w:r w:rsidR="00B911E6" w:rsidRPr="003A6AE1">
        <w:rPr>
          <w:i/>
          <w:lang w:val="en-AU"/>
        </w:rPr>
        <w:t>ataset</w:t>
      </w:r>
    </w:p>
    <w:p w:rsidR="00CD52DA" w:rsidRDefault="00B911E6" w:rsidP="005A5089">
      <w:pPr>
        <w:spacing w:after="200" w:line="276" w:lineRule="auto"/>
        <w:rPr>
          <w:lang w:val="en-AU"/>
        </w:rPr>
      </w:pPr>
      <w:r>
        <w:rPr>
          <w:lang w:val="en-AU"/>
        </w:rPr>
        <w:t xml:space="preserve">Bailey, Berg and Sandy (2001) examine the impact of High-Performance Workplace Practices (HPWP) on workers’ remuneration. The data used in the analysis is MEE in the sense that it maps individual workers to establishments, but it differs substantially from the type of MEE data discussed hitherto. First, the data is not administrative, but collected via a survey. Hence, the data contains information that are not present in typical administrative records, such as work organization and contextual information. The drawback is the size and coverage of the data; it only covers 4,000 workers in 45 establishments in three industries, and only contains a single cross section. Hence, the empirical analysis can control for establishment fixed-effects, but not worker fixed-effects. The authors find that workers employed in HPWP environments earn more than workers employed in traditional environments. </w:t>
      </w:r>
      <w:proofErr w:type="gramStart"/>
      <w:r>
        <w:rPr>
          <w:lang w:val="en-AU"/>
        </w:rPr>
        <w:t xml:space="preserve">For two of the industries, </w:t>
      </w:r>
      <w:r w:rsidR="00CB3E68">
        <w:rPr>
          <w:lang w:val="en-AU"/>
        </w:rPr>
        <w:t>a</w:t>
      </w:r>
      <w:r>
        <w:rPr>
          <w:lang w:val="en-AU"/>
        </w:rPr>
        <w:t xml:space="preserve">pparel and </w:t>
      </w:r>
      <w:r w:rsidR="00CB3E68">
        <w:rPr>
          <w:lang w:val="en-AU"/>
        </w:rPr>
        <w:t>s</w:t>
      </w:r>
      <w:r>
        <w:rPr>
          <w:lang w:val="en-AU"/>
        </w:rPr>
        <w:t>teel, this result is robust to employee-level controls for gender, race, education, experience and tenure.</w:t>
      </w:r>
      <w:proofErr w:type="gramEnd"/>
      <w:r>
        <w:rPr>
          <w:lang w:val="en-AU"/>
        </w:rPr>
        <w:t xml:space="preserve"> </w:t>
      </w:r>
      <w:r w:rsidR="00852861">
        <w:rPr>
          <w:lang w:val="en-AU"/>
        </w:rPr>
        <w:t>However, i</w:t>
      </w:r>
      <w:r>
        <w:rPr>
          <w:lang w:val="en-AU"/>
        </w:rPr>
        <w:t xml:space="preserve">n the third industry, </w:t>
      </w:r>
      <w:r w:rsidR="00852861">
        <w:rPr>
          <w:lang w:val="en-AU"/>
        </w:rPr>
        <w:t>m</w:t>
      </w:r>
      <w:r>
        <w:rPr>
          <w:lang w:val="en-AU"/>
        </w:rPr>
        <w:t xml:space="preserve">edical </w:t>
      </w:r>
      <w:r w:rsidR="00852861">
        <w:rPr>
          <w:lang w:val="en-AU"/>
        </w:rPr>
        <w:t>e</w:t>
      </w:r>
      <w:r>
        <w:rPr>
          <w:lang w:val="en-AU"/>
        </w:rPr>
        <w:t xml:space="preserve">lectronics and </w:t>
      </w:r>
      <w:r w:rsidR="00852861">
        <w:rPr>
          <w:lang w:val="en-AU"/>
        </w:rPr>
        <w:t>i</w:t>
      </w:r>
      <w:r>
        <w:rPr>
          <w:lang w:val="en-AU"/>
        </w:rPr>
        <w:t>maging, the unconditional return to HPWP practices is soaked up by the employee-level controls.</w:t>
      </w:r>
    </w:p>
    <w:p w:rsidR="00C50B6F" w:rsidRDefault="00C50B6F" w:rsidP="005A5089">
      <w:pPr>
        <w:spacing w:after="200" w:line="276" w:lineRule="auto"/>
        <w:rPr>
          <w:lang w:val="en-AU"/>
        </w:rPr>
      </w:pPr>
    </w:p>
    <w:p w:rsidR="00C50B6F" w:rsidRPr="00DA7FAD" w:rsidRDefault="00C8448E" w:rsidP="00C50B6F">
      <w:pPr>
        <w:spacing w:after="200" w:line="276" w:lineRule="auto"/>
        <w:rPr>
          <w:b/>
          <w:lang w:val="en-AU"/>
        </w:rPr>
      </w:pPr>
      <w:r w:rsidRPr="00C8448E">
        <w:rPr>
          <w:b/>
          <w:lang w:val="en-AU"/>
        </w:rPr>
        <w:t>6</w:t>
      </w:r>
      <w:r>
        <w:rPr>
          <w:b/>
          <w:lang w:val="en-AU"/>
        </w:rPr>
        <w:t>. Conclusion</w:t>
      </w:r>
      <w:r w:rsidRPr="00C8448E">
        <w:rPr>
          <w:b/>
          <w:lang w:val="en-AU"/>
        </w:rPr>
        <w:t>s</w:t>
      </w:r>
    </w:p>
    <w:p w:rsidR="004D306D" w:rsidRDefault="004D306D" w:rsidP="004D306D">
      <w:pPr>
        <w:spacing w:line="276" w:lineRule="auto"/>
        <w:rPr>
          <w:lang w:val="en-AU"/>
        </w:rPr>
      </w:pPr>
      <w:r>
        <w:rPr>
          <w:lang w:val="en-AU"/>
        </w:rPr>
        <w:t>Personnel economics has developed into an important sub-field of economics by combining relevant economic theory and state-of-the-art empirical analysis. In this paper we considered three important data-types commonly used in empirical personnel economics: historical firm-level records, contemporary firm-level records, and administrative MEE data. The continued progress of personnel economics requires continued development of data resources. This involves developing new datasets, expanding existing ones and working on broader data availability. For example, there exist very long-term employment records from government agencies, militaries and universities in a range of countries which have yet to be exploited by personnel economists. With respect to MEE data, we believe the construction of non-standard MEE data as in Bailey, Berg and Sandy (2001) represents a promising, albeit costly, avenue for future research in personnel economics.</w:t>
      </w:r>
    </w:p>
    <w:p w:rsidR="00C50B6F" w:rsidRDefault="00C50B6F" w:rsidP="00C50B6F">
      <w:pPr>
        <w:spacing w:after="200" w:line="276" w:lineRule="auto"/>
        <w:rPr>
          <w:lang w:val="en-AU"/>
        </w:rPr>
      </w:pPr>
      <w:bookmarkStart w:id="0" w:name="_GoBack"/>
      <w:bookmarkEnd w:id="0"/>
    </w:p>
    <w:p w:rsidR="00812F06" w:rsidRDefault="00FD5F99" w:rsidP="00812F06">
      <w:pPr>
        <w:spacing w:line="276" w:lineRule="auto"/>
        <w:rPr>
          <w:lang w:val="en-AU"/>
        </w:rPr>
      </w:pPr>
      <w:r w:rsidRPr="000F2880">
        <w:rPr>
          <w:b/>
          <w:lang w:val="en-AU"/>
        </w:rPr>
        <w:t>References</w:t>
      </w:r>
    </w:p>
    <w:p w:rsidR="00812F06" w:rsidRDefault="00812F06" w:rsidP="00812F06">
      <w:pPr>
        <w:spacing w:line="276" w:lineRule="auto"/>
        <w:rPr>
          <w:rFonts w:cs="Times New Roman"/>
          <w:szCs w:val="24"/>
          <w:lang w:val="en-AU"/>
        </w:rPr>
      </w:pPr>
      <w:proofErr w:type="spellStart"/>
      <w:proofErr w:type="gramStart"/>
      <w:r>
        <w:rPr>
          <w:lang w:val="en-AU"/>
        </w:rPr>
        <w:t>Abowd</w:t>
      </w:r>
      <w:proofErr w:type="spellEnd"/>
      <w:r>
        <w:rPr>
          <w:lang w:val="en-AU"/>
        </w:rPr>
        <w:t>, J</w:t>
      </w:r>
      <w:r w:rsidR="00DA7FAD">
        <w:rPr>
          <w:lang w:val="en-AU"/>
        </w:rPr>
        <w:t>. M.</w:t>
      </w:r>
      <w:r>
        <w:rPr>
          <w:lang w:val="en-AU"/>
        </w:rPr>
        <w:t xml:space="preserve">, </w:t>
      </w:r>
      <w:proofErr w:type="spellStart"/>
      <w:r>
        <w:rPr>
          <w:lang w:val="en-AU"/>
        </w:rPr>
        <w:t>Kramarz</w:t>
      </w:r>
      <w:proofErr w:type="spellEnd"/>
      <w:r>
        <w:rPr>
          <w:lang w:val="en-AU"/>
        </w:rPr>
        <w:t xml:space="preserve">, </w:t>
      </w:r>
      <w:r w:rsidR="00DA7FAD">
        <w:rPr>
          <w:lang w:val="en-AU"/>
        </w:rPr>
        <w:t xml:space="preserve">F. </w:t>
      </w:r>
      <w:r>
        <w:rPr>
          <w:lang w:val="en-AU"/>
        </w:rPr>
        <w:t xml:space="preserve">and Margolis, </w:t>
      </w:r>
      <w:r w:rsidR="00DA7FAD">
        <w:rPr>
          <w:lang w:val="en-AU"/>
        </w:rPr>
        <w:t xml:space="preserve">D. </w:t>
      </w:r>
      <w:r>
        <w:rPr>
          <w:lang w:val="en-AU"/>
        </w:rPr>
        <w:t xml:space="preserve">1999, </w:t>
      </w:r>
      <w:r w:rsidR="00DA7FAD">
        <w:rPr>
          <w:lang w:val="en-AU"/>
        </w:rPr>
        <w:t>‘</w:t>
      </w:r>
      <w:r>
        <w:rPr>
          <w:lang w:val="en-AU"/>
        </w:rPr>
        <w:t xml:space="preserve">High </w:t>
      </w:r>
      <w:r w:rsidR="00DA7FAD">
        <w:rPr>
          <w:lang w:val="en-AU"/>
        </w:rPr>
        <w:t>w</w:t>
      </w:r>
      <w:r>
        <w:rPr>
          <w:lang w:val="en-AU"/>
        </w:rPr>
        <w:t xml:space="preserve">age </w:t>
      </w:r>
      <w:r w:rsidR="00DA7FAD">
        <w:rPr>
          <w:lang w:val="en-AU"/>
        </w:rPr>
        <w:t>w</w:t>
      </w:r>
      <w:r>
        <w:rPr>
          <w:lang w:val="en-AU"/>
        </w:rPr>
        <w:t xml:space="preserve">orkers and </w:t>
      </w:r>
      <w:r w:rsidR="00DA7FAD">
        <w:rPr>
          <w:lang w:val="en-AU"/>
        </w:rPr>
        <w:t>h</w:t>
      </w:r>
      <w:r>
        <w:rPr>
          <w:lang w:val="en-AU"/>
        </w:rPr>
        <w:t xml:space="preserve">igh </w:t>
      </w:r>
      <w:r w:rsidR="00DA7FAD">
        <w:rPr>
          <w:rFonts w:cs="Times New Roman"/>
          <w:szCs w:val="24"/>
          <w:lang w:val="en-AU"/>
        </w:rPr>
        <w:t>w</w:t>
      </w:r>
      <w:r w:rsidRPr="00D5295A">
        <w:rPr>
          <w:rFonts w:cs="Times New Roman"/>
          <w:szCs w:val="24"/>
          <w:lang w:val="en-AU"/>
        </w:rPr>
        <w:t xml:space="preserve">age </w:t>
      </w:r>
      <w:r w:rsidR="00DA7FAD">
        <w:rPr>
          <w:rFonts w:cs="Times New Roman"/>
          <w:szCs w:val="24"/>
          <w:lang w:val="en-AU"/>
        </w:rPr>
        <w:t>f</w:t>
      </w:r>
      <w:r w:rsidRPr="00D5295A">
        <w:rPr>
          <w:rFonts w:cs="Times New Roman"/>
          <w:szCs w:val="24"/>
          <w:lang w:val="en-AU"/>
        </w:rPr>
        <w:t>irms</w:t>
      </w:r>
      <w:r w:rsidR="00DA7FAD">
        <w:rPr>
          <w:rFonts w:cs="Times New Roman"/>
          <w:szCs w:val="24"/>
          <w:lang w:val="en-AU"/>
        </w:rPr>
        <w:t>’</w:t>
      </w:r>
      <w:r w:rsidRPr="00D5295A">
        <w:rPr>
          <w:rFonts w:cs="Times New Roman"/>
          <w:szCs w:val="24"/>
          <w:lang w:val="en-AU"/>
        </w:rPr>
        <w:t xml:space="preserve">, </w:t>
      </w:r>
      <w:proofErr w:type="spellStart"/>
      <w:r w:rsidRPr="00D5295A">
        <w:rPr>
          <w:rFonts w:cs="Times New Roman"/>
          <w:i/>
          <w:szCs w:val="24"/>
          <w:lang w:val="en-AU"/>
        </w:rPr>
        <w:t>Econometrica</w:t>
      </w:r>
      <w:proofErr w:type="spellEnd"/>
      <w:r w:rsidRPr="00D5295A">
        <w:rPr>
          <w:rFonts w:cs="Times New Roman"/>
          <w:szCs w:val="24"/>
          <w:lang w:val="en-AU"/>
        </w:rPr>
        <w:t xml:space="preserve">, </w:t>
      </w:r>
      <w:r w:rsidR="00DA7FAD">
        <w:rPr>
          <w:rFonts w:cs="Times New Roman"/>
          <w:szCs w:val="24"/>
          <w:lang w:val="en-AU"/>
        </w:rPr>
        <w:t xml:space="preserve">vol. </w:t>
      </w:r>
      <w:r w:rsidRPr="00D5295A">
        <w:rPr>
          <w:rFonts w:cs="Times New Roman"/>
          <w:szCs w:val="24"/>
          <w:lang w:val="en-AU"/>
        </w:rPr>
        <w:t>67</w:t>
      </w:r>
      <w:r w:rsidR="00DA7FAD">
        <w:rPr>
          <w:rFonts w:cs="Times New Roman"/>
          <w:szCs w:val="24"/>
          <w:lang w:val="en-AU"/>
        </w:rPr>
        <w:t xml:space="preserve">, pp. </w:t>
      </w:r>
      <w:r w:rsidRPr="00D5295A">
        <w:rPr>
          <w:rFonts w:cs="Times New Roman"/>
          <w:szCs w:val="24"/>
          <w:lang w:val="en-AU"/>
        </w:rPr>
        <w:t>251-333.</w:t>
      </w:r>
      <w:proofErr w:type="gramEnd"/>
    </w:p>
    <w:p w:rsidR="0031342A" w:rsidRPr="00D5295A" w:rsidRDefault="0031342A" w:rsidP="00812F06">
      <w:pPr>
        <w:spacing w:line="276" w:lineRule="auto"/>
        <w:rPr>
          <w:rFonts w:cs="Times New Roman"/>
          <w:szCs w:val="24"/>
          <w:lang w:val="en-AU"/>
        </w:rPr>
      </w:pPr>
    </w:p>
    <w:p w:rsidR="00812F06" w:rsidRPr="00DA7FAD" w:rsidRDefault="00812F06" w:rsidP="00812F06">
      <w:pPr>
        <w:spacing w:line="276" w:lineRule="auto"/>
        <w:rPr>
          <w:rFonts w:cs="Times New Roman"/>
          <w:szCs w:val="24"/>
          <w:lang w:val="en-AU"/>
        </w:rPr>
      </w:pPr>
      <w:r w:rsidRPr="00D5295A">
        <w:rPr>
          <w:rFonts w:cs="Times New Roman"/>
          <w:szCs w:val="24"/>
          <w:lang w:val="en-AU"/>
        </w:rPr>
        <w:t>Bagger, J</w:t>
      </w:r>
      <w:r w:rsidR="00DA7FAD">
        <w:rPr>
          <w:rFonts w:cs="Times New Roman"/>
          <w:szCs w:val="24"/>
          <w:lang w:val="en-AU"/>
        </w:rPr>
        <w:t>.</w:t>
      </w:r>
      <w:r w:rsidRPr="00D5295A">
        <w:rPr>
          <w:rFonts w:cs="Times New Roman"/>
          <w:szCs w:val="24"/>
          <w:lang w:val="en-AU"/>
        </w:rPr>
        <w:t xml:space="preserve">, Christensen, </w:t>
      </w:r>
      <w:r w:rsidR="00DA7FAD">
        <w:rPr>
          <w:rFonts w:cs="Times New Roman"/>
          <w:szCs w:val="24"/>
          <w:lang w:val="en-AU"/>
        </w:rPr>
        <w:t xml:space="preserve">B. J. </w:t>
      </w:r>
      <w:r w:rsidRPr="00D5295A">
        <w:rPr>
          <w:rFonts w:cs="Times New Roman"/>
          <w:szCs w:val="24"/>
          <w:lang w:val="en-AU"/>
        </w:rPr>
        <w:t xml:space="preserve">and Mortensen, </w:t>
      </w:r>
      <w:r w:rsidR="00DA7FAD">
        <w:rPr>
          <w:rFonts w:cs="Times New Roman"/>
          <w:szCs w:val="24"/>
          <w:lang w:val="en-AU"/>
        </w:rPr>
        <w:t xml:space="preserve">D. T. </w:t>
      </w:r>
      <w:r w:rsidRPr="00D5295A">
        <w:rPr>
          <w:rFonts w:cs="Times New Roman"/>
          <w:szCs w:val="24"/>
          <w:lang w:val="en-AU"/>
        </w:rPr>
        <w:t xml:space="preserve">2013, </w:t>
      </w:r>
      <w:r w:rsidR="00DA7FAD">
        <w:rPr>
          <w:rFonts w:cs="Times New Roman"/>
          <w:szCs w:val="24"/>
          <w:lang w:val="en-AU"/>
        </w:rPr>
        <w:t>‘</w:t>
      </w:r>
      <w:r w:rsidRPr="00D5295A">
        <w:rPr>
          <w:rFonts w:cs="Times New Roman"/>
          <w:szCs w:val="24"/>
        </w:rPr>
        <w:t xml:space="preserve">Wage and </w:t>
      </w:r>
      <w:r w:rsidR="00DA7FAD">
        <w:rPr>
          <w:rFonts w:cs="Times New Roman"/>
          <w:szCs w:val="24"/>
        </w:rPr>
        <w:t>p</w:t>
      </w:r>
      <w:r w:rsidRPr="00D5295A">
        <w:rPr>
          <w:rFonts w:cs="Times New Roman"/>
          <w:szCs w:val="24"/>
        </w:rPr>
        <w:t xml:space="preserve">roductivity </w:t>
      </w:r>
      <w:r w:rsidR="00DA7FAD">
        <w:rPr>
          <w:rFonts w:cs="Times New Roman"/>
          <w:szCs w:val="24"/>
        </w:rPr>
        <w:t>d</w:t>
      </w:r>
      <w:r w:rsidRPr="00D5295A">
        <w:rPr>
          <w:rFonts w:cs="Times New Roman"/>
          <w:szCs w:val="24"/>
        </w:rPr>
        <w:t xml:space="preserve">ispersion: The </w:t>
      </w:r>
      <w:r w:rsidR="00DA7FAD">
        <w:rPr>
          <w:rFonts w:cs="Times New Roman"/>
          <w:szCs w:val="24"/>
        </w:rPr>
        <w:t>r</w:t>
      </w:r>
      <w:r w:rsidRPr="00D5295A">
        <w:rPr>
          <w:rFonts w:cs="Times New Roman"/>
          <w:szCs w:val="24"/>
        </w:rPr>
        <w:t xml:space="preserve">oles of </w:t>
      </w:r>
      <w:r w:rsidR="00DA7FAD">
        <w:rPr>
          <w:rFonts w:cs="Times New Roman"/>
          <w:szCs w:val="24"/>
        </w:rPr>
        <w:t>r</w:t>
      </w:r>
      <w:r w:rsidRPr="00D5295A">
        <w:rPr>
          <w:rFonts w:cs="Times New Roman"/>
          <w:szCs w:val="24"/>
        </w:rPr>
        <w:t xml:space="preserve">ent </w:t>
      </w:r>
      <w:r w:rsidR="00DA7FAD">
        <w:rPr>
          <w:rFonts w:cs="Times New Roman"/>
          <w:szCs w:val="24"/>
        </w:rPr>
        <w:t>s</w:t>
      </w:r>
      <w:r w:rsidRPr="00D5295A">
        <w:rPr>
          <w:rFonts w:cs="Times New Roman"/>
          <w:szCs w:val="24"/>
        </w:rPr>
        <w:t xml:space="preserve">haring, </w:t>
      </w:r>
      <w:r w:rsidR="00DA7FAD">
        <w:rPr>
          <w:rFonts w:cs="Times New Roman"/>
          <w:szCs w:val="24"/>
        </w:rPr>
        <w:t>l</w:t>
      </w:r>
      <w:r w:rsidRPr="00D5295A">
        <w:rPr>
          <w:rFonts w:cs="Times New Roman"/>
          <w:szCs w:val="24"/>
        </w:rPr>
        <w:t xml:space="preserve">abor </w:t>
      </w:r>
      <w:r w:rsidR="00DA7FAD">
        <w:rPr>
          <w:rFonts w:cs="Times New Roman"/>
          <w:szCs w:val="24"/>
        </w:rPr>
        <w:t>q</w:t>
      </w:r>
      <w:r w:rsidRPr="00D5295A">
        <w:rPr>
          <w:rFonts w:cs="Times New Roman"/>
          <w:szCs w:val="24"/>
        </w:rPr>
        <w:t xml:space="preserve">uality and </w:t>
      </w:r>
      <w:r w:rsidR="00DA7FAD">
        <w:rPr>
          <w:rFonts w:cs="Times New Roman"/>
          <w:szCs w:val="24"/>
        </w:rPr>
        <w:t>c</w:t>
      </w:r>
      <w:r w:rsidRPr="00D5295A">
        <w:rPr>
          <w:rFonts w:cs="Times New Roman"/>
          <w:szCs w:val="24"/>
        </w:rPr>
        <w:t xml:space="preserve">apital </w:t>
      </w:r>
      <w:r w:rsidR="00B53231">
        <w:rPr>
          <w:rFonts w:cs="Times New Roman"/>
          <w:szCs w:val="24"/>
        </w:rPr>
        <w:t>i</w:t>
      </w:r>
      <w:r w:rsidRPr="00D5295A">
        <w:rPr>
          <w:rFonts w:cs="Times New Roman"/>
          <w:szCs w:val="24"/>
        </w:rPr>
        <w:t>ntensity</w:t>
      </w:r>
      <w:r w:rsidR="00DA7FAD">
        <w:rPr>
          <w:rFonts w:cs="Times New Roman"/>
          <w:szCs w:val="24"/>
        </w:rPr>
        <w:t>’</w:t>
      </w:r>
      <w:r w:rsidR="00B53231">
        <w:rPr>
          <w:rFonts w:cs="Times New Roman"/>
          <w:szCs w:val="24"/>
        </w:rPr>
        <w:t>,</w:t>
      </w:r>
      <w:r>
        <w:rPr>
          <w:rFonts w:cs="Times New Roman"/>
          <w:szCs w:val="24"/>
        </w:rPr>
        <w:t xml:space="preserve"> </w:t>
      </w:r>
      <w:r w:rsidR="00C8448E" w:rsidRPr="00C8448E">
        <w:rPr>
          <w:rFonts w:cs="Times New Roman"/>
          <w:szCs w:val="24"/>
        </w:rPr>
        <w:t>Working Paper, Royal Holloway College, University of London</w:t>
      </w:r>
      <w:r w:rsidR="00DA7FAD">
        <w:rPr>
          <w:rFonts w:cs="Times New Roman"/>
          <w:szCs w:val="24"/>
        </w:rPr>
        <w:t>.</w:t>
      </w:r>
    </w:p>
    <w:p w:rsidR="00812F06" w:rsidRDefault="00812F06" w:rsidP="00812F06">
      <w:pPr>
        <w:spacing w:line="276" w:lineRule="auto"/>
        <w:rPr>
          <w:lang w:val="en-AU"/>
        </w:rPr>
      </w:pPr>
    </w:p>
    <w:p w:rsidR="00812F06" w:rsidRDefault="00812F06" w:rsidP="00812F06">
      <w:pPr>
        <w:spacing w:line="276" w:lineRule="auto"/>
        <w:rPr>
          <w:rFonts w:cs="Times New Roman"/>
          <w:szCs w:val="24"/>
        </w:rPr>
      </w:pPr>
      <w:r>
        <w:rPr>
          <w:lang w:val="en-AU"/>
        </w:rPr>
        <w:lastRenderedPageBreak/>
        <w:t>Bagger, J</w:t>
      </w:r>
      <w:r w:rsidR="00DA7FAD">
        <w:rPr>
          <w:lang w:val="en-AU"/>
        </w:rPr>
        <w:t>.</w:t>
      </w:r>
      <w:r>
        <w:rPr>
          <w:lang w:val="en-AU"/>
        </w:rPr>
        <w:t xml:space="preserve">, Fontaine, </w:t>
      </w:r>
      <w:r w:rsidR="00DA7FAD">
        <w:rPr>
          <w:lang w:val="en-AU"/>
        </w:rPr>
        <w:t xml:space="preserve">F., </w:t>
      </w:r>
      <w:proofErr w:type="spellStart"/>
      <w:r>
        <w:rPr>
          <w:lang w:val="en-AU"/>
        </w:rPr>
        <w:t>Postel-Vinay</w:t>
      </w:r>
      <w:proofErr w:type="spellEnd"/>
      <w:r>
        <w:rPr>
          <w:lang w:val="en-AU"/>
        </w:rPr>
        <w:t>,</w:t>
      </w:r>
      <w:r w:rsidR="00DA7FAD">
        <w:rPr>
          <w:lang w:val="en-AU"/>
        </w:rPr>
        <w:t xml:space="preserve"> F.</w:t>
      </w:r>
      <w:r>
        <w:rPr>
          <w:lang w:val="en-AU"/>
        </w:rPr>
        <w:t xml:space="preserve"> and </w:t>
      </w:r>
      <w:r>
        <w:rPr>
          <w:rFonts w:cs="Times New Roman"/>
          <w:szCs w:val="24"/>
          <w:lang w:val="en-AU"/>
        </w:rPr>
        <w:t xml:space="preserve">Robin, </w:t>
      </w:r>
      <w:r w:rsidR="00DA7FAD">
        <w:rPr>
          <w:rFonts w:cs="Times New Roman"/>
          <w:szCs w:val="24"/>
          <w:lang w:val="en-AU"/>
        </w:rPr>
        <w:t xml:space="preserve">J. M. </w:t>
      </w:r>
      <w:r>
        <w:rPr>
          <w:rFonts w:cs="Times New Roman"/>
          <w:szCs w:val="24"/>
          <w:lang w:val="en-AU"/>
        </w:rPr>
        <w:t>2014</w:t>
      </w:r>
      <w:r w:rsidRPr="00C75AC1">
        <w:rPr>
          <w:rFonts w:cs="Times New Roman"/>
          <w:szCs w:val="24"/>
          <w:lang w:val="en-AU"/>
        </w:rPr>
        <w:t xml:space="preserve">, </w:t>
      </w:r>
      <w:r w:rsidR="00DA7FAD">
        <w:rPr>
          <w:rFonts w:cs="Times New Roman"/>
          <w:szCs w:val="24"/>
          <w:lang w:val="en-AU"/>
        </w:rPr>
        <w:t>‘</w:t>
      </w:r>
      <w:r w:rsidRPr="00C75AC1">
        <w:rPr>
          <w:rFonts w:cs="Times New Roman"/>
          <w:szCs w:val="24"/>
        </w:rPr>
        <w:t xml:space="preserve">Tenure, </w:t>
      </w:r>
      <w:r w:rsidR="00DA7FAD">
        <w:rPr>
          <w:rFonts w:cs="Times New Roman"/>
          <w:szCs w:val="24"/>
        </w:rPr>
        <w:t>e</w:t>
      </w:r>
      <w:r w:rsidRPr="00C75AC1">
        <w:rPr>
          <w:rFonts w:cs="Times New Roman"/>
          <w:szCs w:val="24"/>
        </w:rPr>
        <w:t xml:space="preserve">xperience, </w:t>
      </w:r>
      <w:r w:rsidR="00DA7FAD">
        <w:rPr>
          <w:rFonts w:cs="Times New Roman"/>
          <w:szCs w:val="24"/>
        </w:rPr>
        <w:t>h</w:t>
      </w:r>
      <w:r w:rsidRPr="00C75AC1">
        <w:rPr>
          <w:rFonts w:cs="Times New Roman"/>
          <w:szCs w:val="24"/>
        </w:rPr>
        <w:t xml:space="preserve">uman </w:t>
      </w:r>
      <w:r w:rsidR="00DA7FAD">
        <w:rPr>
          <w:rFonts w:cs="Times New Roman"/>
          <w:szCs w:val="24"/>
        </w:rPr>
        <w:t>c</w:t>
      </w:r>
      <w:r w:rsidRPr="00C75AC1">
        <w:rPr>
          <w:rFonts w:cs="Times New Roman"/>
          <w:szCs w:val="24"/>
        </w:rPr>
        <w:t xml:space="preserve">apital and </w:t>
      </w:r>
      <w:r w:rsidR="00DA7FAD">
        <w:rPr>
          <w:rFonts w:cs="Times New Roman"/>
          <w:szCs w:val="24"/>
        </w:rPr>
        <w:t>w</w:t>
      </w:r>
      <w:r w:rsidRPr="00C75AC1">
        <w:rPr>
          <w:rFonts w:cs="Times New Roman"/>
          <w:szCs w:val="24"/>
        </w:rPr>
        <w:t xml:space="preserve">ages: A </w:t>
      </w:r>
      <w:r w:rsidR="00DA7FAD">
        <w:rPr>
          <w:rFonts w:cs="Times New Roman"/>
          <w:szCs w:val="24"/>
        </w:rPr>
        <w:t>t</w:t>
      </w:r>
      <w:r w:rsidRPr="00C75AC1">
        <w:rPr>
          <w:rFonts w:cs="Times New Roman"/>
          <w:szCs w:val="24"/>
        </w:rPr>
        <w:t xml:space="preserve">ractable </w:t>
      </w:r>
      <w:r w:rsidR="00DA7FAD">
        <w:rPr>
          <w:rFonts w:cs="Times New Roman"/>
          <w:szCs w:val="24"/>
        </w:rPr>
        <w:t>e</w:t>
      </w:r>
      <w:r w:rsidRPr="00C75AC1">
        <w:rPr>
          <w:rFonts w:cs="Times New Roman"/>
          <w:szCs w:val="24"/>
        </w:rPr>
        <w:t xml:space="preserve">quilibrium </w:t>
      </w:r>
      <w:r w:rsidR="00DA7FAD">
        <w:rPr>
          <w:rFonts w:cs="Times New Roman"/>
          <w:szCs w:val="24"/>
        </w:rPr>
        <w:t>s</w:t>
      </w:r>
      <w:r w:rsidRPr="00C75AC1">
        <w:rPr>
          <w:rFonts w:cs="Times New Roman"/>
          <w:szCs w:val="24"/>
        </w:rPr>
        <w:t xml:space="preserve">earch </w:t>
      </w:r>
      <w:r w:rsidR="00DA7FAD">
        <w:rPr>
          <w:rFonts w:cs="Times New Roman"/>
          <w:szCs w:val="24"/>
        </w:rPr>
        <w:t>m</w:t>
      </w:r>
      <w:r w:rsidRPr="00C75AC1">
        <w:rPr>
          <w:rFonts w:cs="Times New Roman"/>
          <w:szCs w:val="24"/>
        </w:rPr>
        <w:t xml:space="preserve">odel of </w:t>
      </w:r>
      <w:r w:rsidR="00DA7FAD">
        <w:rPr>
          <w:rFonts w:cs="Times New Roman"/>
          <w:szCs w:val="24"/>
        </w:rPr>
        <w:t>w</w:t>
      </w:r>
      <w:r w:rsidRPr="00C75AC1">
        <w:rPr>
          <w:rFonts w:cs="Times New Roman"/>
          <w:szCs w:val="24"/>
        </w:rPr>
        <w:t xml:space="preserve">age </w:t>
      </w:r>
      <w:r w:rsidR="00DA7FAD">
        <w:rPr>
          <w:rFonts w:cs="Times New Roman"/>
          <w:szCs w:val="24"/>
        </w:rPr>
        <w:t>d</w:t>
      </w:r>
      <w:r w:rsidRPr="00C75AC1">
        <w:rPr>
          <w:rFonts w:cs="Times New Roman"/>
          <w:szCs w:val="24"/>
        </w:rPr>
        <w:t>ynamics</w:t>
      </w:r>
      <w:r w:rsidR="00DA7FAD">
        <w:rPr>
          <w:rFonts w:cs="Times New Roman"/>
          <w:szCs w:val="24"/>
        </w:rPr>
        <w:t>’</w:t>
      </w:r>
      <w:r w:rsidR="00B53231">
        <w:rPr>
          <w:rFonts w:cs="Times New Roman"/>
          <w:szCs w:val="24"/>
        </w:rPr>
        <w:t>,</w:t>
      </w:r>
      <w:r>
        <w:rPr>
          <w:rFonts w:cs="Times New Roman"/>
          <w:szCs w:val="24"/>
        </w:rPr>
        <w:t xml:space="preserve"> </w:t>
      </w:r>
      <w:r w:rsidRPr="00C75AC1">
        <w:rPr>
          <w:rFonts w:cs="Times New Roman"/>
          <w:i/>
          <w:szCs w:val="24"/>
        </w:rPr>
        <w:t>American Economic Review</w:t>
      </w:r>
      <w:r>
        <w:rPr>
          <w:rFonts w:cs="Times New Roman"/>
          <w:szCs w:val="24"/>
        </w:rPr>
        <w:t>, forthcoming</w:t>
      </w:r>
      <w:r w:rsidR="00DA7FAD">
        <w:rPr>
          <w:rFonts w:cs="Times New Roman"/>
          <w:szCs w:val="24"/>
        </w:rPr>
        <w:t>.</w:t>
      </w:r>
    </w:p>
    <w:p w:rsidR="00812F06" w:rsidRDefault="00812F06" w:rsidP="00812F06">
      <w:pPr>
        <w:spacing w:line="276" w:lineRule="auto"/>
        <w:rPr>
          <w:lang w:val="en-AU"/>
        </w:rPr>
      </w:pPr>
    </w:p>
    <w:p w:rsidR="00812F06" w:rsidRDefault="00812F06" w:rsidP="00812F06">
      <w:pPr>
        <w:spacing w:line="276" w:lineRule="auto"/>
        <w:rPr>
          <w:lang w:val="en-AU"/>
        </w:rPr>
      </w:pPr>
      <w:r>
        <w:rPr>
          <w:lang w:val="en-AU"/>
        </w:rPr>
        <w:t>Bailey, T</w:t>
      </w:r>
      <w:r w:rsidR="00DC5C18">
        <w:rPr>
          <w:lang w:val="en-AU"/>
        </w:rPr>
        <w:t>.</w:t>
      </w:r>
      <w:r>
        <w:rPr>
          <w:lang w:val="en-AU"/>
        </w:rPr>
        <w:t xml:space="preserve">, Berg, </w:t>
      </w:r>
      <w:r w:rsidR="00DC5C18">
        <w:rPr>
          <w:lang w:val="en-AU"/>
        </w:rPr>
        <w:t xml:space="preserve">P. </w:t>
      </w:r>
      <w:r>
        <w:rPr>
          <w:lang w:val="en-AU"/>
        </w:rPr>
        <w:t>and Sandy</w:t>
      </w:r>
      <w:r w:rsidR="00DC5C18">
        <w:rPr>
          <w:lang w:val="en-AU"/>
        </w:rPr>
        <w:t>, C</w:t>
      </w:r>
      <w:r>
        <w:rPr>
          <w:lang w:val="en-AU"/>
        </w:rPr>
        <w:t>. 2001</w:t>
      </w:r>
      <w:r w:rsidR="00391BC9">
        <w:rPr>
          <w:lang w:val="en-AU"/>
        </w:rPr>
        <w:t>,</w:t>
      </w:r>
      <w:r>
        <w:rPr>
          <w:lang w:val="en-AU"/>
        </w:rPr>
        <w:t xml:space="preserve"> </w:t>
      </w:r>
      <w:r w:rsidR="00391BC9">
        <w:rPr>
          <w:lang w:val="en-AU"/>
        </w:rPr>
        <w:t>‘</w:t>
      </w:r>
      <w:r>
        <w:rPr>
          <w:lang w:val="en-AU"/>
        </w:rPr>
        <w:t xml:space="preserve">The </w:t>
      </w:r>
      <w:r w:rsidR="00391BC9">
        <w:rPr>
          <w:lang w:val="en-AU"/>
        </w:rPr>
        <w:t>e</w:t>
      </w:r>
      <w:r>
        <w:rPr>
          <w:lang w:val="en-AU"/>
        </w:rPr>
        <w:t xml:space="preserve">ffect of </w:t>
      </w:r>
      <w:r w:rsidR="00391BC9">
        <w:rPr>
          <w:lang w:val="en-AU"/>
        </w:rPr>
        <w:t>h</w:t>
      </w:r>
      <w:r>
        <w:rPr>
          <w:lang w:val="en-AU"/>
        </w:rPr>
        <w:t>igh-</w:t>
      </w:r>
      <w:r w:rsidR="00391BC9">
        <w:rPr>
          <w:lang w:val="en-AU"/>
        </w:rPr>
        <w:t>p</w:t>
      </w:r>
      <w:r>
        <w:rPr>
          <w:lang w:val="en-AU"/>
        </w:rPr>
        <w:t xml:space="preserve">erformance </w:t>
      </w:r>
      <w:r w:rsidR="00391BC9">
        <w:rPr>
          <w:lang w:val="en-AU"/>
        </w:rPr>
        <w:t>w</w:t>
      </w:r>
      <w:r>
        <w:rPr>
          <w:lang w:val="en-AU"/>
        </w:rPr>
        <w:t xml:space="preserve">ork </w:t>
      </w:r>
      <w:r w:rsidR="00391BC9">
        <w:rPr>
          <w:lang w:val="en-AU"/>
        </w:rPr>
        <w:t>p</w:t>
      </w:r>
      <w:r>
        <w:rPr>
          <w:lang w:val="en-AU"/>
        </w:rPr>
        <w:t xml:space="preserve">ractices on </w:t>
      </w:r>
      <w:r w:rsidR="00391BC9">
        <w:rPr>
          <w:lang w:val="en-AU"/>
        </w:rPr>
        <w:t>e</w:t>
      </w:r>
      <w:r>
        <w:rPr>
          <w:lang w:val="en-AU"/>
        </w:rPr>
        <w:t xml:space="preserve">mployee </w:t>
      </w:r>
      <w:r w:rsidR="00391BC9">
        <w:rPr>
          <w:lang w:val="en-AU"/>
        </w:rPr>
        <w:t>e</w:t>
      </w:r>
      <w:r>
        <w:rPr>
          <w:lang w:val="en-AU"/>
        </w:rPr>
        <w:t xml:space="preserve">arnings in the </w:t>
      </w:r>
      <w:r w:rsidR="00391BC9">
        <w:rPr>
          <w:lang w:val="en-AU"/>
        </w:rPr>
        <w:t>s</w:t>
      </w:r>
      <w:r>
        <w:rPr>
          <w:lang w:val="en-AU"/>
        </w:rPr>
        <w:t xml:space="preserve">teel, </w:t>
      </w:r>
      <w:r w:rsidR="00391BC9">
        <w:rPr>
          <w:lang w:val="en-AU"/>
        </w:rPr>
        <w:t>a</w:t>
      </w:r>
      <w:r>
        <w:rPr>
          <w:lang w:val="en-AU"/>
        </w:rPr>
        <w:t xml:space="preserve">pparel, and </w:t>
      </w:r>
      <w:r w:rsidR="00391BC9">
        <w:rPr>
          <w:lang w:val="en-AU"/>
        </w:rPr>
        <w:t>m</w:t>
      </w:r>
      <w:r>
        <w:rPr>
          <w:lang w:val="en-AU"/>
        </w:rPr>
        <w:t xml:space="preserve">edical </w:t>
      </w:r>
      <w:r w:rsidR="00391BC9">
        <w:rPr>
          <w:lang w:val="en-AU"/>
        </w:rPr>
        <w:t>e</w:t>
      </w:r>
      <w:r>
        <w:rPr>
          <w:lang w:val="en-AU"/>
        </w:rPr>
        <w:t xml:space="preserve">lectronics and </w:t>
      </w:r>
      <w:r w:rsidR="00391BC9">
        <w:rPr>
          <w:lang w:val="en-AU"/>
        </w:rPr>
        <w:t>i</w:t>
      </w:r>
      <w:r>
        <w:rPr>
          <w:lang w:val="en-AU"/>
        </w:rPr>
        <w:t xml:space="preserve">maging </w:t>
      </w:r>
      <w:r w:rsidR="00391BC9">
        <w:rPr>
          <w:lang w:val="en-AU"/>
        </w:rPr>
        <w:t>i</w:t>
      </w:r>
      <w:r>
        <w:rPr>
          <w:lang w:val="en-AU"/>
        </w:rPr>
        <w:t>ndustries</w:t>
      </w:r>
      <w:r w:rsidR="00391BC9">
        <w:rPr>
          <w:lang w:val="en-AU"/>
        </w:rPr>
        <w:t>’</w:t>
      </w:r>
      <w:r w:rsidR="00B53231">
        <w:rPr>
          <w:lang w:val="en-AU"/>
        </w:rPr>
        <w:t>,</w:t>
      </w:r>
      <w:r>
        <w:rPr>
          <w:lang w:val="en-AU"/>
        </w:rPr>
        <w:t xml:space="preserve"> </w:t>
      </w:r>
      <w:r w:rsidR="00C8448E" w:rsidRPr="00C8448E">
        <w:rPr>
          <w:i/>
          <w:lang w:val="en-AU"/>
        </w:rPr>
        <w:t xml:space="preserve">Industrial and </w:t>
      </w:r>
      <w:proofErr w:type="spellStart"/>
      <w:r w:rsidR="00C8448E" w:rsidRPr="00C8448E">
        <w:rPr>
          <w:i/>
          <w:lang w:val="en-AU"/>
        </w:rPr>
        <w:t>Labor</w:t>
      </w:r>
      <w:proofErr w:type="spellEnd"/>
      <w:r w:rsidR="00C8448E" w:rsidRPr="00C8448E">
        <w:rPr>
          <w:i/>
          <w:lang w:val="en-AU"/>
        </w:rPr>
        <w:t xml:space="preserve"> Relations Review</w:t>
      </w:r>
      <w:r>
        <w:rPr>
          <w:lang w:val="en-AU"/>
        </w:rPr>
        <w:t xml:space="preserve">, </w:t>
      </w:r>
      <w:r w:rsidR="00391BC9">
        <w:rPr>
          <w:lang w:val="en-AU"/>
        </w:rPr>
        <w:t xml:space="preserve">vol. </w:t>
      </w:r>
      <w:r>
        <w:rPr>
          <w:lang w:val="en-AU"/>
        </w:rPr>
        <w:t xml:space="preserve">54, </w:t>
      </w:r>
      <w:r w:rsidR="00391BC9">
        <w:rPr>
          <w:lang w:val="en-AU"/>
        </w:rPr>
        <w:t xml:space="preserve">pp. </w:t>
      </w:r>
      <w:r>
        <w:rPr>
          <w:lang w:val="en-AU"/>
        </w:rPr>
        <w:t>525-43.</w:t>
      </w:r>
    </w:p>
    <w:p w:rsidR="00812F06" w:rsidRDefault="00812F06" w:rsidP="00812F06">
      <w:pPr>
        <w:spacing w:line="276" w:lineRule="auto"/>
        <w:rPr>
          <w:lang w:val="en-AU"/>
        </w:rPr>
      </w:pPr>
    </w:p>
    <w:p w:rsidR="00812F06" w:rsidRPr="000F2880" w:rsidRDefault="00812F06" w:rsidP="00812F06">
      <w:pPr>
        <w:spacing w:line="276" w:lineRule="auto"/>
        <w:rPr>
          <w:lang w:val="en-AU"/>
        </w:rPr>
      </w:pPr>
      <w:r w:rsidRPr="000F2880">
        <w:rPr>
          <w:lang w:val="en-AU"/>
        </w:rPr>
        <w:t>Baker</w:t>
      </w:r>
      <w:r>
        <w:rPr>
          <w:lang w:val="en-AU"/>
        </w:rPr>
        <w:t>, G</w:t>
      </w:r>
      <w:r w:rsidR="00007B72">
        <w:rPr>
          <w:lang w:val="en-AU"/>
        </w:rPr>
        <w:t>.</w:t>
      </w:r>
      <w:r w:rsidRPr="000F2880">
        <w:rPr>
          <w:lang w:val="en-AU"/>
        </w:rPr>
        <w:t xml:space="preserve">, Gibbs, </w:t>
      </w:r>
      <w:r w:rsidR="00007B72">
        <w:rPr>
          <w:lang w:val="en-AU"/>
        </w:rPr>
        <w:t xml:space="preserve">M. </w:t>
      </w:r>
      <w:r w:rsidRPr="000F2880">
        <w:rPr>
          <w:lang w:val="en-AU"/>
        </w:rPr>
        <w:t xml:space="preserve">and </w:t>
      </w:r>
      <w:proofErr w:type="spellStart"/>
      <w:r w:rsidRPr="000F2880">
        <w:rPr>
          <w:lang w:val="en-AU"/>
        </w:rPr>
        <w:t>Holmstrom</w:t>
      </w:r>
      <w:proofErr w:type="spellEnd"/>
      <w:r w:rsidRPr="000F2880">
        <w:rPr>
          <w:lang w:val="en-AU"/>
        </w:rPr>
        <w:t xml:space="preserve">, </w:t>
      </w:r>
      <w:r w:rsidR="00007B72">
        <w:rPr>
          <w:lang w:val="en-AU"/>
        </w:rPr>
        <w:t>B. 1994</w:t>
      </w:r>
      <w:r w:rsidR="006F7F88">
        <w:rPr>
          <w:lang w:val="en-AU"/>
        </w:rPr>
        <w:t>a</w:t>
      </w:r>
      <w:r w:rsidR="00007B72">
        <w:rPr>
          <w:lang w:val="en-AU"/>
        </w:rPr>
        <w:t>, ‘</w:t>
      </w:r>
      <w:proofErr w:type="gramStart"/>
      <w:r w:rsidRPr="000F2880">
        <w:rPr>
          <w:lang w:val="en-AU"/>
        </w:rPr>
        <w:t>The</w:t>
      </w:r>
      <w:proofErr w:type="gramEnd"/>
      <w:r w:rsidRPr="000F2880">
        <w:rPr>
          <w:lang w:val="en-AU"/>
        </w:rPr>
        <w:t xml:space="preserve"> </w:t>
      </w:r>
      <w:r w:rsidR="00007B72">
        <w:rPr>
          <w:lang w:val="en-AU"/>
        </w:rPr>
        <w:t>i</w:t>
      </w:r>
      <w:r w:rsidRPr="000F2880">
        <w:rPr>
          <w:lang w:val="en-AU"/>
        </w:rPr>
        <w:t xml:space="preserve">nternal </w:t>
      </w:r>
      <w:r w:rsidR="00007B72">
        <w:rPr>
          <w:lang w:val="en-AU"/>
        </w:rPr>
        <w:t>e</w:t>
      </w:r>
      <w:r w:rsidRPr="000F2880">
        <w:rPr>
          <w:lang w:val="en-AU"/>
        </w:rPr>
        <w:t xml:space="preserve">conomics of the </w:t>
      </w:r>
      <w:r w:rsidR="00007B72">
        <w:rPr>
          <w:lang w:val="en-AU"/>
        </w:rPr>
        <w:t>f</w:t>
      </w:r>
      <w:r w:rsidRPr="000F2880">
        <w:rPr>
          <w:lang w:val="en-AU"/>
        </w:rPr>
        <w:t xml:space="preserve">irm: Evidence from </w:t>
      </w:r>
      <w:r w:rsidR="00007B72">
        <w:rPr>
          <w:lang w:val="en-AU"/>
        </w:rPr>
        <w:t>p</w:t>
      </w:r>
      <w:r w:rsidRPr="000F2880">
        <w:rPr>
          <w:lang w:val="en-AU"/>
        </w:rPr>
        <w:t xml:space="preserve">ersonnel </w:t>
      </w:r>
      <w:r w:rsidR="00007B72">
        <w:rPr>
          <w:lang w:val="en-AU"/>
        </w:rPr>
        <w:t>d</w:t>
      </w:r>
      <w:r w:rsidRPr="000F2880">
        <w:rPr>
          <w:lang w:val="en-AU"/>
        </w:rPr>
        <w:t>ata</w:t>
      </w:r>
      <w:r w:rsidR="00C25F26">
        <w:rPr>
          <w:lang w:val="en-AU"/>
        </w:rPr>
        <w:t>’</w:t>
      </w:r>
      <w:r w:rsidR="00B53231">
        <w:rPr>
          <w:lang w:val="en-AU"/>
        </w:rPr>
        <w:t>,</w:t>
      </w:r>
      <w:r w:rsidRPr="000F2880">
        <w:rPr>
          <w:lang w:val="en-AU"/>
        </w:rPr>
        <w:t xml:space="preserve"> </w:t>
      </w:r>
      <w:r w:rsidRPr="000F2880">
        <w:rPr>
          <w:i/>
          <w:lang w:val="en-AU"/>
        </w:rPr>
        <w:t>Quarterly Journal of Economics</w:t>
      </w:r>
      <w:r w:rsidRPr="000F2880">
        <w:rPr>
          <w:lang w:val="en-AU"/>
        </w:rPr>
        <w:t xml:space="preserve">, </w:t>
      </w:r>
      <w:r w:rsidR="00007B72">
        <w:rPr>
          <w:lang w:val="en-AU"/>
        </w:rPr>
        <w:t xml:space="preserve">vol. 109, pp. </w:t>
      </w:r>
      <w:r w:rsidRPr="000F2880">
        <w:rPr>
          <w:lang w:val="en-AU"/>
        </w:rPr>
        <w:t>881-919.</w:t>
      </w:r>
    </w:p>
    <w:p w:rsidR="00812F06" w:rsidRPr="000F2880" w:rsidRDefault="00812F06" w:rsidP="00812F06">
      <w:pPr>
        <w:spacing w:line="276" w:lineRule="auto"/>
        <w:rPr>
          <w:lang w:val="en-AU"/>
        </w:rPr>
      </w:pPr>
    </w:p>
    <w:p w:rsidR="00812F06" w:rsidRPr="000F2880" w:rsidRDefault="00C25F26" w:rsidP="00812F06">
      <w:pPr>
        <w:spacing w:line="276" w:lineRule="auto"/>
        <w:rPr>
          <w:lang w:val="en-AU"/>
        </w:rPr>
      </w:pPr>
      <w:proofErr w:type="gramStart"/>
      <w:r w:rsidRPr="000F2880">
        <w:rPr>
          <w:lang w:val="en-AU"/>
        </w:rPr>
        <w:t>Baker</w:t>
      </w:r>
      <w:r>
        <w:rPr>
          <w:lang w:val="en-AU"/>
        </w:rPr>
        <w:t>, G.</w:t>
      </w:r>
      <w:r w:rsidRPr="000F2880">
        <w:rPr>
          <w:lang w:val="en-AU"/>
        </w:rPr>
        <w:t xml:space="preserve">, Gibbs, </w:t>
      </w:r>
      <w:r>
        <w:rPr>
          <w:lang w:val="en-AU"/>
        </w:rPr>
        <w:t xml:space="preserve">M. </w:t>
      </w:r>
      <w:r w:rsidRPr="000F2880">
        <w:rPr>
          <w:lang w:val="en-AU"/>
        </w:rPr>
        <w:t xml:space="preserve">and </w:t>
      </w:r>
      <w:proofErr w:type="spellStart"/>
      <w:r w:rsidRPr="000F2880">
        <w:rPr>
          <w:lang w:val="en-AU"/>
        </w:rPr>
        <w:t>Holmstrom</w:t>
      </w:r>
      <w:proofErr w:type="spellEnd"/>
      <w:r w:rsidRPr="000F2880">
        <w:rPr>
          <w:lang w:val="en-AU"/>
        </w:rPr>
        <w:t xml:space="preserve">, </w:t>
      </w:r>
      <w:r>
        <w:rPr>
          <w:lang w:val="en-AU"/>
        </w:rPr>
        <w:t>B. 1994</w:t>
      </w:r>
      <w:r w:rsidR="006F7F88">
        <w:rPr>
          <w:lang w:val="en-AU"/>
        </w:rPr>
        <w:t>b</w:t>
      </w:r>
      <w:r>
        <w:rPr>
          <w:lang w:val="en-AU"/>
        </w:rPr>
        <w:t>, ‘</w:t>
      </w:r>
      <w:r w:rsidR="00812F06" w:rsidRPr="000F2880">
        <w:rPr>
          <w:lang w:val="en-AU"/>
        </w:rPr>
        <w:t xml:space="preserve">The </w:t>
      </w:r>
      <w:r>
        <w:rPr>
          <w:lang w:val="en-AU"/>
        </w:rPr>
        <w:t>w</w:t>
      </w:r>
      <w:r w:rsidR="00812F06" w:rsidRPr="000F2880">
        <w:rPr>
          <w:lang w:val="en-AU"/>
        </w:rPr>
        <w:t xml:space="preserve">age </w:t>
      </w:r>
      <w:r>
        <w:rPr>
          <w:lang w:val="en-AU"/>
        </w:rPr>
        <w:t>p</w:t>
      </w:r>
      <w:r w:rsidR="00812F06" w:rsidRPr="000F2880">
        <w:rPr>
          <w:lang w:val="en-AU"/>
        </w:rPr>
        <w:t xml:space="preserve">olicy of a </w:t>
      </w:r>
      <w:r>
        <w:rPr>
          <w:lang w:val="en-AU"/>
        </w:rPr>
        <w:t>f</w:t>
      </w:r>
      <w:r w:rsidR="00812F06" w:rsidRPr="000F2880">
        <w:rPr>
          <w:lang w:val="en-AU"/>
        </w:rPr>
        <w:t>irm</w:t>
      </w:r>
      <w:r>
        <w:rPr>
          <w:lang w:val="en-AU"/>
        </w:rPr>
        <w:t>’</w:t>
      </w:r>
      <w:r w:rsidR="00B53231">
        <w:rPr>
          <w:lang w:val="en-AU"/>
        </w:rPr>
        <w:t>,</w:t>
      </w:r>
      <w:r w:rsidR="00812F06" w:rsidRPr="000F2880">
        <w:rPr>
          <w:lang w:val="en-AU"/>
        </w:rPr>
        <w:t xml:space="preserve"> </w:t>
      </w:r>
      <w:r w:rsidR="00812F06" w:rsidRPr="000F2880">
        <w:rPr>
          <w:i/>
          <w:lang w:val="en-AU"/>
        </w:rPr>
        <w:t>Quarterly Journal of Economics</w:t>
      </w:r>
      <w:r w:rsidR="00812F06" w:rsidRPr="000F2880">
        <w:rPr>
          <w:lang w:val="en-AU"/>
        </w:rPr>
        <w:t xml:space="preserve">, </w:t>
      </w:r>
      <w:r>
        <w:rPr>
          <w:lang w:val="en-AU"/>
        </w:rPr>
        <w:t>vol. 109, pp.</w:t>
      </w:r>
      <w:r w:rsidRPr="000F2880" w:rsidDel="00C25F26">
        <w:rPr>
          <w:lang w:val="en-AU"/>
        </w:rPr>
        <w:t xml:space="preserve"> </w:t>
      </w:r>
      <w:r w:rsidR="00812F06" w:rsidRPr="000F2880">
        <w:rPr>
          <w:lang w:val="en-AU"/>
        </w:rPr>
        <w:t>921-55.</w:t>
      </w:r>
      <w:proofErr w:type="gramEnd"/>
    </w:p>
    <w:p w:rsidR="00812F06" w:rsidRPr="000F2880" w:rsidRDefault="00812F06" w:rsidP="00812F06">
      <w:pPr>
        <w:spacing w:line="276" w:lineRule="auto"/>
        <w:rPr>
          <w:lang w:val="en-AU"/>
        </w:rPr>
      </w:pPr>
    </w:p>
    <w:p w:rsidR="00812F06" w:rsidRPr="000F2880" w:rsidRDefault="00812F06" w:rsidP="00812F06">
      <w:pPr>
        <w:spacing w:line="276" w:lineRule="auto"/>
        <w:rPr>
          <w:lang w:val="en-AU"/>
        </w:rPr>
      </w:pPr>
      <w:proofErr w:type="spellStart"/>
      <w:r w:rsidRPr="000F2880">
        <w:rPr>
          <w:lang w:val="en-AU"/>
        </w:rPr>
        <w:t>Bandiera</w:t>
      </w:r>
      <w:proofErr w:type="spellEnd"/>
      <w:r w:rsidRPr="000F2880">
        <w:rPr>
          <w:lang w:val="en-AU"/>
        </w:rPr>
        <w:t>, O</w:t>
      </w:r>
      <w:r w:rsidR="00E04A16">
        <w:rPr>
          <w:lang w:val="en-AU"/>
        </w:rPr>
        <w:t>.</w:t>
      </w:r>
      <w:r w:rsidRPr="000F2880">
        <w:rPr>
          <w:lang w:val="en-AU"/>
        </w:rPr>
        <w:t xml:space="preserve">, </w:t>
      </w:r>
      <w:proofErr w:type="spellStart"/>
      <w:r w:rsidRPr="000F2880">
        <w:rPr>
          <w:lang w:val="en-AU"/>
        </w:rPr>
        <w:t>Ba</w:t>
      </w:r>
      <w:r>
        <w:rPr>
          <w:lang w:val="en-AU"/>
        </w:rPr>
        <w:t>rankay</w:t>
      </w:r>
      <w:proofErr w:type="spellEnd"/>
      <w:r>
        <w:rPr>
          <w:lang w:val="en-AU"/>
        </w:rPr>
        <w:t xml:space="preserve">, </w:t>
      </w:r>
      <w:r w:rsidR="00684D27">
        <w:rPr>
          <w:lang w:val="en-AU"/>
        </w:rPr>
        <w:t xml:space="preserve">I. </w:t>
      </w:r>
      <w:r>
        <w:rPr>
          <w:lang w:val="en-AU"/>
        </w:rPr>
        <w:t xml:space="preserve">and </w:t>
      </w:r>
      <w:proofErr w:type="spellStart"/>
      <w:r>
        <w:rPr>
          <w:lang w:val="en-AU"/>
        </w:rPr>
        <w:t>Rasul</w:t>
      </w:r>
      <w:proofErr w:type="spellEnd"/>
      <w:r w:rsidR="00B53231">
        <w:rPr>
          <w:lang w:val="en-AU"/>
        </w:rPr>
        <w:t>, I</w:t>
      </w:r>
      <w:r>
        <w:rPr>
          <w:lang w:val="en-AU"/>
        </w:rPr>
        <w:t>. 2005</w:t>
      </w:r>
      <w:r w:rsidR="00684D27">
        <w:rPr>
          <w:lang w:val="en-AU"/>
        </w:rPr>
        <w:t>,</w:t>
      </w:r>
      <w:r>
        <w:rPr>
          <w:lang w:val="en-AU"/>
        </w:rPr>
        <w:t xml:space="preserve"> </w:t>
      </w:r>
      <w:r w:rsidR="00684D27">
        <w:rPr>
          <w:lang w:val="en-AU"/>
        </w:rPr>
        <w:t>‘</w:t>
      </w:r>
      <w:r w:rsidRPr="000F2880">
        <w:rPr>
          <w:lang w:val="en-AU"/>
        </w:rPr>
        <w:t xml:space="preserve">Social </w:t>
      </w:r>
      <w:r w:rsidR="00684D27">
        <w:rPr>
          <w:lang w:val="en-AU"/>
        </w:rPr>
        <w:t>p</w:t>
      </w:r>
      <w:r w:rsidRPr="000F2880">
        <w:rPr>
          <w:lang w:val="en-AU"/>
        </w:rPr>
        <w:t xml:space="preserve">references and the </w:t>
      </w:r>
      <w:r w:rsidR="00684D27">
        <w:rPr>
          <w:lang w:val="en-AU"/>
        </w:rPr>
        <w:t>r</w:t>
      </w:r>
      <w:r w:rsidRPr="000F2880">
        <w:rPr>
          <w:lang w:val="en-AU"/>
        </w:rPr>
        <w:t xml:space="preserve">esponse to </w:t>
      </w:r>
      <w:r w:rsidR="00684D27">
        <w:rPr>
          <w:lang w:val="en-AU"/>
        </w:rPr>
        <w:t>i</w:t>
      </w:r>
      <w:r w:rsidRPr="000F2880">
        <w:rPr>
          <w:lang w:val="en-AU"/>
        </w:rPr>
        <w:t xml:space="preserve">ncentives: Evidence from </w:t>
      </w:r>
      <w:r w:rsidR="00684D27">
        <w:rPr>
          <w:lang w:val="en-AU"/>
        </w:rPr>
        <w:t>p</w:t>
      </w:r>
      <w:r w:rsidRPr="000F2880">
        <w:rPr>
          <w:lang w:val="en-AU"/>
        </w:rPr>
        <w:t xml:space="preserve">ersonnel </w:t>
      </w:r>
      <w:r w:rsidR="00684D27">
        <w:rPr>
          <w:lang w:val="en-AU"/>
        </w:rPr>
        <w:t>d</w:t>
      </w:r>
      <w:r w:rsidRPr="000F2880">
        <w:rPr>
          <w:lang w:val="en-AU"/>
        </w:rPr>
        <w:t>ata</w:t>
      </w:r>
      <w:r w:rsidR="00684D27">
        <w:rPr>
          <w:lang w:val="en-AU"/>
        </w:rPr>
        <w:t>’</w:t>
      </w:r>
      <w:r w:rsidR="00B53231">
        <w:rPr>
          <w:lang w:val="en-AU"/>
        </w:rPr>
        <w:t>,</w:t>
      </w:r>
      <w:r w:rsidRPr="000F2880">
        <w:rPr>
          <w:lang w:val="en-AU"/>
        </w:rPr>
        <w:t xml:space="preserve"> </w:t>
      </w:r>
      <w:r w:rsidRPr="000F2880">
        <w:rPr>
          <w:i/>
          <w:lang w:val="en-AU"/>
        </w:rPr>
        <w:t>Quarterly Journal of Economics</w:t>
      </w:r>
      <w:r w:rsidRPr="000F2880">
        <w:rPr>
          <w:lang w:val="en-AU"/>
        </w:rPr>
        <w:t xml:space="preserve">, </w:t>
      </w:r>
      <w:r w:rsidR="00684D27">
        <w:rPr>
          <w:lang w:val="en-AU"/>
        </w:rPr>
        <w:t xml:space="preserve">vol. </w:t>
      </w:r>
      <w:r w:rsidRPr="000F2880">
        <w:rPr>
          <w:lang w:val="en-AU"/>
        </w:rPr>
        <w:t>120</w:t>
      </w:r>
      <w:r w:rsidR="00684D27">
        <w:rPr>
          <w:lang w:val="en-AU"/>
        </w:rPr>
        <w:t>, pp.</w:t>
      </w:r>
      <w:r w:rsidRPr="000F2880">
        <w:rPr>
          <w:lang w:val="en-AU"/>
        </w:rPr>
        <w:t xml:space="preserve"> 917-62. </w:t>
      </w:r>
    </w:p>
    <w:p w:rsidR="00812F06" w:rsidRPr="000F2880" w:rsidRDefault="00812F06" w:rsidP="00812F06">
      <w:pPr>
        <w:spacing w:line="276" w:lineRule="auto"/>
        <w:rPr>
          <w:lang w:val="en-AU"/>
        </w:rPr>
      </w:pPr>
    </w:p>
    <w:p w:rsidR="00812F06" w:rsidRPr="000F2880" w:rsidRDefault="00684D27" w:rsidP="00812F06">
      <w:pPr>
        <w:spacing w:line="276" w:lineRule="auto"/>
        <w:rPr>
          <w:lang w:val="en-AU"/>
        </w:rPr>
      </w:pPr>
      <w:proofErr w:type="spellStart"/>
      <w:r w:rsidRPr="000F2880">
        <w:rPr>
          <w:lang w:val="en-AU"/>
        </w:rPr>
        <w:t>Bandiera</w:t>
      </w:r>
      <w:proofErr w:type="spellEnd"/>
      <w:r w:rsidRPr="000F2880">
        <w:rPr>
          <w:lang w:val="en-AU"/>
        </w:rPr>
        <w:t>, O</w:t>
      </w:r>
      <w:r>
        <w:rPr>
          <w:lang w:val="en-AU"/>
        </w:rPr>
        <w:t>.</w:t>
      </w:r>
      <w:r w:rsidRPr="000F2880">
        <w:rPr>
          <w:lang w:val="en-AU"/>
        </w:rPr>
        <w:t xml:space="preserve">, </w:t>
      </w:r>
      <w:proofErr w:type="spellStart"/>
      <w:r w:rsidRPr="000F2880">
        <w:rPr>
          <w:lang w:val="en-AU"/>
        </w:rPr>
        <w:t>Ba</w:t>
      </w:r>
      <w:r w:rsidR="00B53231">
        <w:rPr>
          <w:lang w:val="en-AU"/>
        </w:rPr>
        <w:t>rankay</w:t>
      </w:r>
      <w:proofErr w:type="spellEnd"/>
      <w:r w:rsidR="00B53231">
        <w:rPr>
          <w:lang w:val="en-AU"/>
        </w:rPr>
        <w:t xml:space="preserve">, I. and </w:t>
      </w:r>
      <w:proofErr w:type="spellStart"/>
      <w:r>
        <w:rPr>
          <w:lang w:val="en-AU"/>
        </w:rPr>
        <w:t>Rasul</w:t>
      </w:r>
      <w:proofErr w:type="spellEnd"/>
      <w:r w:rsidR="00B53231">
        <w:rPr>
          <w:lang w:val="en-AU"/>
        </w:rPr>
        <w:t>, I</w:t>
      </w:r>
      <w:r>
        <w:rPr>
          <w:lang w:val="en-AU"/>
        </w:rPr>
        <w:t xml:space="preserve">. </w:t>
      </w:r>
      <w:r w:rsidR="00812F06" w:rsidRPr="000F2880">
        <w:rPr>
          <w:lang w:val="en-AU"/>
        </w:rPr>
        <w:t>2009</w:t>
      </w:r>
      <w:r>
        <w:rPr>
          <w:lang w:val="en-AU"/>
        </w:rPr>
        <w:t>,</w:t>
      </w:r>
      <w:r w:rsidR="00812F06" w:rsidRPr="000F2880">
        <w:rPr>
          <w:lang w:val="en-AU"/>
        </w:rPr>
        <w:t xml:space="preserve"> </w:t>
      </w:r>
      <w:r>
        <w:rPr>
          <w:lang w:val="en-AU"/>
        </w:rPr>
        <w:t>‘</w:t>
      </w:r>
      <w:r w:rsidR="00812F06" w:rsidRPr="000F2880">
        <w:rPr>
          <w:lang w:val="en-AU"/>
        </w:rPr>
        <w:t xml:space="preserve">Social </w:t>
      </w:r>
      <w:r>
        <w:rPr>
          <w:lang w:val="en-AU"/>
        </w:rPr>
        <w:t>c</w:t>
      </w:r>
      <w:r w:rsidR="00812F06" w:rsidRPr="000F2880">
        <w:rPr>
          <w:lang w:val="en-AU"/>
        </w:rPr>
        <w:t xml:space="preserve">onnections and </w:t>
      </w:r>
      <w:r>
        <w:rPr>
          <w:lang w:val="en-AU"/>
        </w:rPr>
        <w:t>i</w:t>
      </w:r>
      <w:r w:rsidR="00812F06" w:rsidRPr="000F2880">
        <w:rPr>
          <w:lang w:val="en-AU"/>
        </w:rPr>
        <w:t xml:space="preserve">ncentives in the </w:t>
      </w:r>
      <w:r>
        <w:rPr>
          <w:lang w:val="en-AU"/>
        </w:rPr>
        <w:t>w</w:t>
      </w:r>
      <w:r w:rsidR="00812F06" w:rsidRPr="000F2880">
        <w:rPr>
          <w:lang w:val="en-AU"/>
        </w:rPr>
        <w:t xml:space="preserve">orkplace: Evidence from </w:t>
      </w:r>
      <w:r>
        <w:rPr>
          <w:lang w:val="en-AU"/>
        </w:rPr>
        <w:t>p</w:t>
      </w:r>
      <w:r w:rsidR="00812F06" w:rsidRPr="000F2880">
        <w:rPr>
          <w:lang w:val="en-AU"/>
        </w:rPr>
        <w:t xml:space="preserve">ersonnel </w:t>
      </w:r>
      <w:r>
        <w:rPr>
          <w:lang w:val="en-AU"/>
        </w:rPr>
        <w:t>d</w:t>
      </w:r>
      <w:r w:rsidR="00812F06" w:rsidRPr="000F2880">
        <w:rPr>
          <w:lang w:val="en-AU"/>
        </w:rPr>
        <w:t>ata</w:t>
      </w:r>
      <w:r>
        <w:rPr>
          <w:lang w:val="en-AU"/>
        </w:rPr>
        <w:t>’</w:t>
      </w:r>
      <w:r w:rsidR="00B53231">
        <w:rPr>
          <w:lang w:val="en-AU"/>
        </w:rPr>
        <w:t>,</w:t>
      </w:r>
      <w:r w:rsidR="00812F06" w:rsidRPr="000F2880">
        <w:rPr>
          <w:lang w:val="en-AU"/>
        </w:rPr>
        <w:t xml:space="preserve"> </w:t>
      </w:r>
      <w:proofErr w:type="spellStart"/>
      <w:r w:rsidR="00812F06" w:rsidRPr="000F2880">
        <w:rPr>
          <w:i/>
          <w:lang w:val="en-AU"/>
        </w:rPr>
        <w:t>Econometric</w:t>
      </w:r>
      <w:r w:rsidR="00812F06" w:rsidRPr="000F2880">
        <w:rPr>
          <w:lang w:val="en-AU"/>
        </w:rPr>
        <w:t>a</w:t>
      </w:r>
      <w:proofErr w:type="spellEnd"/>
      <w:r w:rsidR="00812F06" w:rsidRPr="000F2880">
        <w:rPr>
          <w:lang w:val="en-AU"/>
        </w:rPr>
        <w:t xml:space="preserve">, </w:t>
      </w:r>
      <w:r>
        <w:rPr>
          <w:lang w:val="en-AU"/>
        </w:rPr>
        <w:t xml:space="preserve">vol. </w:t>
      </w:r>
      <w:r w:rsidR="00812F06" w:rsidRPr="000F2880">
        <w:rPr>
          <w:lang w:val="en-AU"/>
        </w:rPr>
        <w:t>77</w:t>
      </w:r>
      <w:r>
        <w:rPr>
          <w:lang w:val="en-AU"/>
        </w:rPr>
        <w:t>, pp.</w:t>
      </w:r>
      <w:r w:rsidR="00812F06" w:rsidRPr="000F2880">
        <w:rPr>
          <w:lang w:val="en-AU"/>
        </w:rPr>
        <w:t xml:space="preserve"> 1047-94. </w:t>
      </w:r>
    </w:p>
    <w:p w:rsidR="00812F06" w:rsidRPr="000F2880" w:rsidRDefault="00812F06" w:rsidP="00812F06">
      <w:pPr>
        <w:spacing w:line="276" w:lineRule="auto"/>
        <w:rPr>
          <w:lang w:val="en-AU"/>
        </w:rPr>
      </w:pPr>
    </w:p>
    <w:p w:rsidR="00812F06" w:rsidRDefault="00684D27" w:rsidP="00812F06">
      <w:pPr>
        <w:spacing w:line="276" w:lineRule="auto"/>
        <w:rPr>
          <w:lang w:val="en-AU"/>
        </w:rPr>
      </w:pPr>
      <w:proofErr w:type="spellStart"/>
      <w:r w:rsidRPr="000F2880">
        <w:rPr>
          <w:lang w:val="en-AU"/>
        </w:rPr>
        <w:t>Bandiera</w:t>
      </w:r>
      <w:proofErr w:type="spellEnd"/>
      <w:r w:rsidRPr="000F2880">
        <w:rPr>
          <w:lang w:val="en-AU"/>
        </w:rPr>
        <w:t>, O</w:t>
      </w:r>
      <w:r>
        <w:rPr>
          <w:lang w:val="en-AU"/>
        </w:rPr>
        <w:t>.</w:t>
      </w:r>
      <w:r w:rsidRPr="000F2880">
        <w:rPr>
          <w:lang w:val="en-AU"/>
        </w:rPr>
        <w:t xml:space="preserve">, </w:t>
      </w:r>
      <w:proofErr w:type="spellStart"/>
      <w:r w:rsidRPr="000F2880">
        <w:rPr>
          <w:lang w:val="en-AU"/>
        </w:rPr>
        <w:t>Ba</w:t>
      </w:r>
      <w:r w:rsidR="00B53231">
        <w:rPr>
          <w:lang w:val="en-AU"/>
        </w:rPr>
        <w:t>rankay</w:t>
      </w:r>
      <w:proofErr w:type="spellEnd"/>
      <w:r w:rsidR="00B53231">
        <w:rPr>
          <w:lang w:val="en-AU"/>
        </w:rPr>
        <w:t xml:space="preserve">, I. and </w:t>
      </w:r>
      <w:proofErr w:type="spellStart"/>
      <w:r>
        <w:rPr>
          <w:lang w:val="en-AU"/>
        </w:rPr>
        <w:t>Rasul</w:t>
      </w:r>
      <w:proofErr w:type="spellEnd"/>
      <w:r w:rsidR="00B53231">
        <w:rPr>
          <w:lang w:val="en-AU"/>
        </w:rPr>
        <w:t>, I</w:t>
      </w:r>
      <w:r>
        <w:rPr>
          <w:lang w:val="en-AU"/>
        </w:rPr>
        <w:t xml:space="preserve">. </w:t>
      </w:r>
      <w:r w:rsidR="00812F06" w:rsidRPr="000F2880">
        <w:rPr>
          <w:lang w:val="en-AU"/>
        </w:rPr>
        <w:t>2010</w:t>
      </w:r>
      <w:r>
        <w:rPr>
          <w:lang w:val="en-AU"/>
        </w:rPr>
        <w:t>,</w:t>
      </w:r>
      <w:r w:rsidR="00812F06" w:rsidRPr="000F2880">
        <w:rPr>
          <w:lang w:val="en-AU"/>
        </w:rPr>
        <w:t xml:space="preserve"> </w:t>
      </w:r>
      <w:r>
        <w:rPr>
          <w:lang w:val="en-AU"/>
        </w:rPr>
        <w:t>‘</w:t>
      </w:r>
      <w:r w:rsidR="00812F06" w:rsidRPr="000F2880">
        <w:rPr>
          <w:lang w:val="en-AU"/>
        </w:rPr>
        <w:t xml:space="preserve">Social </w:t>
      </w:r>
      <w:r>
        <w:rPr>
          <w:lang w:val="en-AU"/>
        </w:rPr>
        <w:t>i</w:t>
      </w:r>
      <w:r w:rsidR="00812F06" w:rsidRPr="000F2880">
        <w:rPr>
          <w:lang w:val="en-AU"/>
        </w:rPr>
        <w:t xml:space="preserve">ncentives in the </w:t>
      </w:r>
      <w:r>
        <w:rPr>
          <w:lang w:val="en-AU"/>
        </w:rPr>
        <w:t>w</w:t>
      </w:r>
      <w:r w:rsidR="00812F06" w:rsidRPr="000F2880">
        <w:rPr>
          <w:lang w:val="en-AU"/>
        </w:rPr>
        <w:t>orkplace</w:t>
      </w:r>
      <w:r>
        <w:rPr>
          <w:lang w:val="en-AU"/>
        </w:rPr>
        <w:t>’</w:t>
      </w:r>
      <w:r w:rsidR="00B53231">
        <w:rPr>
          <w:lang w:val="en-AU"/>
        </w:rPr>
        <w:t>,</w:t>
      </w:r>
      <w:r w:rsidR="00812F06" w:rsidRPr="000F2880">
        <w:rPr>
          <w:lang w:val="en-AU"/>
        </w:rPr>
        <w:t xml:space="preserve"> </w:t>
      </w:r>
      <w:r w:rsidR="00812F06" w:rsidRPr="000F2880">
        <w:rPr>
          <w:i/>
          <w:lang w:val="en-AU"/>
        </w:rPr>
        <w:t>Review of Economic Studies</w:t>
      </w:r>
      <w:r w:rsidR="00812F06" w:rsidRPr="000F2880">
        <w:rPr>
          <w:lang w:val="en-AU"/>
        </w:rPr>
        <w:t xml:space="preserve">, </w:t>
      </w:r>
      <w:r>
        <w:rPr>
          <w:lang w:val="en-AU"/>
        </w:rPr>
        <w:t xml:space="preserve">vol. </w:t>
      </w:r>
      <w:r w:rsidR="00812F06" w:rsidRPr="000F2880">
        <w:rPr>
          <w:lang w:val="en-AU"/>
        </w:rPr>
        <w:t>77</w:t>
      </w:r>
      <w:r>
        <w:rPr>
          <w:lang w:val="en-AU"/>
        </w:rPr>
        <w:t>, pp.</w:t>
      </w:r>
      <w:r w:rsidR="00812F06" w:rsidRPr="000F2880">
        <w:rPr>
          <w:lang w:val="en-AU"/>
        </w:rPr>
        <w:t xml:space="preserve"> 417</w:t>
      </w:r>
      <w:r w:rsidR="009D4D38">
        <w:rPr>
          <w:lang w:val="en-AU"/>
        </w:rPr>
        <w:t>-</w:t>
      </w:r>
      <w:r w:rsidR="00812F06" w:rsidRPr="000F2880">
        <w:rPr>
          <w:lang w:val="en-AU"/>
        </w:rPr>
        <w:t>58.</w:t>
      </w:r>
    </w:p>
    <w:p w:rsidR="00166F5A" w:rsidRDefault="00166F5A" w:rsidP="00812F06">
      <w:pPr>
        <w:spacing w:line="276" w:lineRule="auto"/>
        <w:rPr>
          <w:lang w:val="en-AU"/>
        </w:rPr>
      </w:pPr>
    </w:p>
    <w:p w:rsidR="00166F5A" w:rsidRDefault="00166F5A" w:rsidP="00812F06">
      <w:pPr>
        <w:spacing w:line="276" w:lineRule="auto"/>
        <w:rPr>
          <w:lang w:val="en-AU"/>
        </w:rPr>
      </w:pPr>
      <w:proofErr w:type="spellStart"/>
      <w:r w:rsidRPr="000F2880">
        <w:rPr>
          <w:lang w:val="en-AU"/>
        </w:rPr>
        <w:t>Bandiera</w:t>
      </w:r>
      <w:proofErr w:type="spellEnd"/>
      <w:r w:rsidRPr="000F2880">
        <w:rPr>
          <w:lang w:val="en-AU"/>
        </w:rPr>
        <w:t>, O</w:t>
      </w:r>
      <w:r>
        <w:rPr>
          <w:lang w:val="en-AU"/>
        </w:rPr>
        <w:t>.</w:t>
      </w:r>
      <w:r w:rsidRPr="000F2880">
        <w:rPr>
          <w:lang w:val="en-AU"/>
        </w:rPr>
        <w:t xml:space="preserve">, </w:t>
      </w:r>
      <w:proofErr w:type="spellStart"/>
      <w:r w:rsidRPr="000F2880">
        <w:rPr>
          <w:lang w:val="en-AU"/>
        </w:rPr>
        <w:t>Ba</w:t>
      </w:r>
      <w:r>
        <w:rPr>
          <w:lang w:val="en-AU"/>
        </w:rPr>
        <w:t>rankay</w:t>
      </w:r>
      <w:proofErr w:type="spellEnd"/>
      <w:r>
        <w:rPr>
          <w:lang w:val="en-AU"/>
        </w:rPr>
        <w:t xml:space="preserve">, I. and </w:t>
      </w:r>
      <w:proofErr w:type="spellStart"/>
      <w:r>
        <w:rPr>
          <w:lang w:val="en-AU"/>
        </w:rPr>
        <w:t>Rasul</w:t>
      </w:r>
      <w:proofErr w:type="spellEnd"/>
      <w:r w:rsidR="00B53231">
        <w:rPr>
          <w:lang w:val="en-AU"/>
        </w:rPr>
        <w:t>, I</w:t>
      </w:r>
      <w:r>
        <w:rPr>
          <w:lang w:val="en-AU"/>
        </w:rPr>
        <w:t>. 2011, ‘Field experiments with f</w:t>
      </w:r>
      <w:r w:rsidR="00B53231">
        <w:rPr>
          <w:lang w:val="en-AU"/>
        </w:rPr>
        <w:t>irms</w:t>
      </w:r>
      <w:r>
        <w:rPr>
          <w:lang w:val="en-AU"/>
        </w:rPr>
        <w:t>’</w:t>
      </w:r>
      <w:r w:rsidR="00B53231">
        <w:rPr>
          <w:lang w:val="en-AU"/>
        </w:rPr>
        <w:t>,</w:t>
      </w:r>
      <w:r w:rsidRPr="000F2880">
        <w:rPr>
          <w:lang w:val="en-AU"/>
        </w:rPr>
        <w:t xml:space="preserve"> </w:t>
      </w:r>
      <w:r w:rsidRPr="000F2880">
        <w:rPr>
          <w:i/>
          <w:lang w:val="en-AU"/>
        </w:rPr>
        <w:t>The Journal of Economic Perspectives</w:t>
      </w:r>
      <w:r w:rsidRPr="000F2880">
        <w:rPr>
          <w:lang w:val="en-AU"/>
        </w:rPr>
        <w:t xml:space="preserve">, </w:t>
      </w:r>
      <w:r>
        <w:rPr>
          <w:lang w:val="en-AU"/>
        </w:rPr>
        <w:t xml:space="preserve">vol. </w:t>
      </w:r>
      <w:r w:rsidRPr="000F2880">
        <w:rPr>
          <w:lang w:val="en-AU"/>
        </w:rPr>
        <w:t>25</w:t>
      </w:r>
      <w:r>
        <w:rPr>
          <w:lang w:val="en-AU"/>
        </w:rPr>
        <w:t>, pp.</w:t>
      </w:r>
      <w:r w:rsidRPr="000F2880">
        <w:rPr>
          <w:lang w:val="en-AU"/>
        </w:rPr>
        <w:t xml:space="preserve"> 63-82</w:t>
      </w:r>
      <w:r>
        <w:rPr>
          <w:lang w:val="en-AU"/>
        </w:rPr>
        <w:t>.</w:t>
      </w:r>
    </w:p>
    <w:p w:rsidR="00812F06" w:rsidRDefault="00812F06" w:rsidP="00812F06">
      <w:pPr>
        <w:spacing w:line="276" w:lineRule="auto"/>
        <w:rPr>
          <w:lang w:val="en-AU"/>
        </w:rPr>
      </w:pPr>
    </w:p>
    <w:p w:rsidR="00812F06" w:rsidRDefault="00812F06" w:rsidP="00812F06">
      <w:pPr>
        <w:spacing w:line="276" w:lineRule="auto"/>
        <w:rPr>
          <w:lang w:val="en-AU"/>
        </w:rPr>
      </w:pPr>
      <w:r>
        <w:rPr>
          <w:lang w:val="en-AU"/>
        </w:rPr>
        <w:t>Bauer, T</w:t>
      </w:r>
      <w:r w:rsidR="00684D27">
        <w:rPr>
          <w:lang w:val="en-AU"/>
        </w:rPr>
        <w:t>.</w:t>
      </w:r>
      <w:r>
        <w:rPr>
          <w:lang w:val="en-AU"/>
        </w:rPr>
        <w:t xml:space="preserve"> K. and Bender</w:t>
      </w:r>
      <w:r w:rsidR="00684D27">
        <w:rPr>
          <w:lang w:val="en-AU"/>
        </w:rPr>
        <w:t>, S.</w:t>
      </w:r>
      <w:r>
        <w:rPr>
          <w:lang w:val="en-AU"/>
        </w:rPr>
        <w:t xml:space="preserve"> 2001, </w:t>
      </w:r>
      <w:r w:rsidR="00684D27">
        <w:rPr>
          <w:lang w:val="en-AU"/>
        </w:rPr>
        <w:t>‘</w:t>
      </w:r>
      <w:r>
        <w:rPr>
          <w:lang w:val="en-AU"/>
        </w:rPr>
        <w:t xml:space="preserve">Flexible </w:t>
      </w:r>
      <w:r w:rsidR="00684D27">
        <w:rPr>
          <w:lang w:val="en-AU"/>
        </w:rPr>
        <w:t>w</w:t>
      </w:r>
      <w:r>
        <w:rPr>
          <w:lang w:val="en-AU"/>
        </w:rPr>
        <w:t xml:space="preserve">ork </w:t>
      </w:r>
      <w:r w:rsidR="00684D27">
        <w:rPr>
          <w:lang w:val="en-AU"/>
        </w:rPr>
        <w:t>s</w:t>
      </w:r>
      <w:r>
        <w:rPr>
          <w:lang w:val="en-AU"/>
        </w:rPr>
        <w:t xml:space="preserve">ystems and the </w:t>
      </w:r>
      <w:r w:rsidR="00684D27">
        <w:rPr>
          <w:lang w:val="en-AU"/>
        </w:rPr>
        <w:t>s</w:t>
      </w:r>
      <w:r>
        <w:rPr>
          <w:lang w:val="en-AU"/>
        </w:rPr>
        <w:t xml:space="preserve">tructure of </w:t>
      </w:r>
      <w:r w:rsidR="00684D27">
        <w:rPr>
          <w:lang w:val="en-AU"/>
        </w:rPr>
        <w:t>w</w:t>
      </w:r>
      <w:r>
        <w:rPr>
          <w:lang w:val="en-AU"/>
        </w:rPr>
        <w:t xml:space="preserve">ages: Evidence from </w:t>
      </w:r>
      <w:r w:rsidR="00684D27">
        <w:rPr>
          <w:lang w:val="en-AU"/>
        </w:rPr>
        <w:t>m</w:t>
      </w:r>
      <w:r>
        <w:rPr>
          <w:lang w:val="en-AU"/>
        </w:rPr>
        <w:t xml:space="preserve">atched </w:t>
      </w:r>
      <w:r w:rsidR="00684D27">
        <w:rPr>
          <w:lang w:val="en-AU"/>
        </w:rPr>
        <w:t>e</w:t>
      </w:r>
      <w:r>
        <w:rPr>
          <w:lang w:val="en-AU"/>
        </w:rPr>
        <w:t>mployer-</w:t>
      </w:r>
      <w:r w:rsidR="00684D27">
        <w:rPr>
          <w:lang w:val="en-AU"/>
        </w:rPr>
        <w:t>e</w:t>
      </w:r>
      <w:r>
        <w:rPr>
          <w:lang w:val="en-AU"/>
        </w:rPr>
        <w:t xml:space="preserve">mployee </w:t>
      </w:r>
      <w:r w:rsidR="00684D27">
        <w:rPr>
          <w:lang w:val="en-AU"/>
        </w:rPr>
        <w:t>d</w:t>
      </w:r>
      <w:r>
        <w:rPr>
          <w:lang w:val="en-AU"/>
        </w:rPr>
        <w:t>ata</w:t>
      </w:r>
      <w:r w:rsidR="00684D27">
        <w:rPr>
          <w:lang w:val="en-AU"/>
        </w:rPr>
        <w:t>’</w:t>
      </w:r>
      <w:r w:rsidR="00B53231">
        <w:rPr>
          <w:lang w:val="en-AU"/>
        </w:rPr>
        <w:t>,</w:t>
      </w:r>
      <w:r>
        <w:rPr>
          <w:lang w:val="en-AU"/>
        </w:rPr>
        <w:t xml:space="preserve"> IZA Discussion Paper 353.</w:t>
      </w:r>
    </w:p>
    <w:p w:rsidR="00812F06" w:rsidRDefault="00812F06" w:rsidP="00812F06">
      <w:pPr>
        <w:spacing w:line="276" w:lineRule="auto"/>
        <w:rPr>
          <w:lang w:val="en-AU"/>
        </w:rPr>
      </w:pPr>
    </w:p>
    <w:p w:rsidR="00812F06" w:rsidRPr="000F2880" w:rsidRDefault="00812F06" w:rsidP="00812F06">
      <w:pPr>
        <w:spacing w:line="276" w:lineRule="auto"/>
        <w:rPr>
          <w:lang w:val="en-AU"/>
        </w:rPr>
      </w:pPr>
      <w:proofErr w:type="gramStart"/>
      <w:r>
        <w:rPr>
          <w:lang w:val="en-AU"/>
        </w:rPr>
        <w:t>Bingley, P</w:t>
      </w:r>
      <w:r w:rsidR="00684D27">
        <w:rPr>
          <w:lang w:val="en-AU"/>
        </w:rPr>
        <w:t>.</w:t>
      </w:r>
      <w:r>
        <w:rPr>
          <w:lang w:val="en-AU"/>
        </w:rPr>
        <w:t xml:space="preserve"> and </w:t>
      </w:r>
      <w:proofErr w:type="spellStart"/>
      <w:r>
        <w:rPr>
          <w:lang w:val="en-AU"/>
        </w:rPr>
        <w:t>Westergaard</w:t>
      </w:r>
      <w:proofErr w:type="spellEnd"/>
      <w:r>
        <w:rPr>
          <w:lang w:val="en-AU"/>
        </w:rPr>
        <w:t xml:space="preserve">-Nielsen, </w:t>
      </w:r>
      <w:r w:rsidR="00684D27">
        <w:rPr>
          <w:lang w:val="en-AU"/>
        </w:rPr>
        <w:t xml:space="preserve">N. </w:t>
      </w:r>
      <w:r>
        <w:rPr>
          <w:lang w:val="en-AU"/>
        </w:rPr>
        <w:t>2003</w:t>
      </w:r>
      <w:r w:rsidR="00684D27">
        <w:rPr>
          <w:lang w:val="en-AU"/>
        </w:rPr>
        <w:t>,</w:t>
      </w:r>
      <w:r>
        <w:rPr>
          <w:lang w:val="en-AU"/>
        </w:rPr>
        <w:t xml:space="preserve"> </w:t>
      </w:r>
      <w:r w:rsidR="00684D27">
        <w:rPr>
          <w:lang w:val="en-AU"/>
        </w:rPr>
        <w:t>‘</w:t>
      </w:r>
      <w:r>
        <w:rPr>
          <w:lang w:val="en-AU"/>
        </w:rPr>
        <w:t xml:space="preserve">Returns to </w:t>
      </w:r>
      <w:r w:rsidR="00684D27">
        <w:rPr>
          <w:lang w:val="en-AU"/>
        </w:rPr>
        <w:t>t</w:t>
      </w:r>
      <w:r>
        <w:rPr>
          <w:lang w:val="en-AU"/>
        </w:rPr>
        <w:t xml:space="preserve">enure, </w:t>
      </w:r>
      <w:r w:rsidR="00684D27">
        <w:rPr>
          <w:lang w:val="en-AU"/>
        </w:rPr>
        <w:t>f</w:t>
      </w:r>
      <w:r>
        <w:rPr>
          <w:lang w:val="en-AU"/>
        </w:rPr>
        <w:t>irm-</w:t>
      </w:r>
      <w:r w:rsidR="00684D27">
        <w:rPr>
          <w:lang w:val="en-AU"/>
        </w:rPr>
        <w:t>s</w:t>
      </w:r>
      <w:r>
        <w:rPr>
          <w:lang w:val="en-AU"/>
        </w:rPr>
        <w:t xml:space="preserve">pecific </w:t>
      </w:r>
      <w:r w:rsidR="00684D27">
        <w:rPr>
          <w:lang w:val="en-AU"/>
        </w:rPr>
        <w:t>h</w:t>
      </w:r>
      <w:r>
        <w:rPr>
          <w:lang w:val="en-AU"/>
        </w:rPr>
        <w:t xml:space="preserve">uman </w:t>
      </w:r>
      <w:r w:rsidR="00684D27">
        <w:rPr>
          <w:lang w:val="en-AU"/>
        </w:rPr>
        <w:t>c</w:t>
      </w:r>
      <w:r>
        <w:rPr>
          <w:lang w:val="en-AU"/>
        </w:rPr>
        <w:t xml:space="preserve">apital and </w:t>
      </w:r>
      <w:r w:rsidR="00684D27">
        <w:rPr>
          <w:lang w:val="en-AU"/>
        </w:rPr>
        <w:t>w</w:t>
      </w:r>
      <w:r>
        <w:rPr>
          <w:lang w:val="en-AU"/>
        </w:rPr>
        <w:t xml:space="preserve">orker </w:t>
      </w:r>
      <w:r w:rsidR="00684D27">
        <w:rPr>
          <w:lang w:val="en-AU"/>
        </w:rPr>
        <w:t>h</w:t>
      </w:r>
      <w:r>
        <w:rPr>
          <w:lang w:val="en-AU"/>
        </w:rPr>
        <w:t>eterogeneity</w:t>
      </w:r>
      <w:r w:rsidR="00684D27">
        <w:rPr>
          <w:lang w:val="en-AU"/>
        </w:rPr>
        <w:t>’</w:t>
      </w:r>
      <w:r w:rsidR="00B53231">
        <w:rPr>
          <w:lang w:val="en-AU"/>
        </w:rPr>
        <w:t>,</w:t>
      </w:r>
      <w:r>
        <w:rPr>
          <w:lang w:val="en-AU"/>
        </w:rPr>
        <w:t xml:space="preserve"> </w:t>
      </w:r>
      <w:r w:rsidRPr="00F23655">
        <w:rPr>
          <w:i/>
          <w:lang w:val="en-AU"/>
        </w:rPr>
        <w:t>International Journal of Manpower</w:t>
      </w:r>
      <w:r>
        <w:rPr>
          <w:lang w:val="en-AU"/>
        </w:rPr>
        <w:t xml:space="preserve">, </w:t>
      </w:r>
      <w:r w:rsidR="00684D27">
        <w:rPr>
          <w:lang w:val="en-AU"/>
        </w:rPr>
        <w:t xml:space="preserve">vol. </w:t>
      </w:r>
      <w:r>
        <w:rPr>
          <w:lang w:val="en-AU"/>
        </w:rPr>
        <w:t>24</w:t>
      </w:r>
      <w:r w:rsidR="00684D27">
        <w:rPr>
          <w:lang w:val="en-AU"/>
        </w:rPr>
        <w:t>, pp.</w:t>
      </w:r>
      <w:r>
        <w:rPr>
          <w:lang w:val="en-AU"/>
        </w:rPr>
        <w:t xml:space="preserve"> 774-88.</w:t>
      </w:r>
      <w:proofErr w:type="gramEnd"/>
    </w:p>
    <w:p w:rsidR="00812F06" w:rsidRDefault="00812F06" w:rsidP="00812F06">
      <w:pPr>
        <w:spacing w:line="276" w:lineRule="auto"/>
        <w:rPr>
          <w:lang w:val="en-AU"/>
        </w:rPr>
      </w:pPr>
    </w:p>
    <w:p w:rsidR="00812F06" w:rsidRPr="00362B5A" w:rsidRDefault="00812F06" w:rsidP="00812F06">
      <w:pPr>
        <w:spacing w:line="276" w:lineRule="auto"/>
        <w:rPr>
          <w:rFonts w:cs="Times New Roman"/>
          <w:szCs w:val="24"/>
          <w:lang w:val="en-GB" w:eastAsia="en-GB" w:bidi="ar-SA"/>
        </w:rPr>
      </w:pPr>
      <w:proofErr w:type="spellStart"/>
      <w:proofErr w:type="gramStart"/>
      <w:r w:rsidRPr="00362B5A">
        <w:rPr>
          <w:rFonts w:cs="Times New Roman"/>
          <w:szCs w:val="24"/>
          <w:lang w:val="en-GB" w:eastAsia="en-GB" w:bidi="ar-SA"/>
        </w:rPr>
        <w:t>Belzil</w:t>
      </w:r>
      <w:proofErr w:type="spellEnd"/>
      <w:r w:rsidRPr="00362B5A">
        <w:rPr>
          <w:rFonts w:cs="Times New Roman"/>
          <w:szCs w:val="24"/>
          <w:lang w:val="en-GB" w:eastAsia="en-GB" w:bidi="ar-SA"/>
        </w:rPr>
        <w:t>, C</w:t>
      </w:r>
      <w:r w:rsidR="00AA6351">
        <w:rPr>
          <w:rFonts w:cs="Times New Roman"/>
          <w:szCs w:val="24"/>
          <w:lang w:val="en-GB" w:eastAsia="en-GB" w:bidi="ar-SA"/>
        </w:rPr>
        <w:t>.</w:t>
      </w:r>
      <w:r w:rsidRPr="00362B5A">
        <w:rPr>
          <w:rFonts w:cs="Times New Roman"/>
          <w:szCs w:val="24"/>
          <w:lang w:val="en-GB" w:eastAsia="en-GB" w:bidi="ar-SA"/>
        </w:rPr>
        <w:t xml:space="preserve"> and </w:t>
      </w:r>
      <w:proofErr w:type="spellStart"/>
      <w:r w:rsidRPr="00362B5A">
        <w:rPr>
          <w:rFonts w:cs="Times New Roman"/>
          <w:szCs w:val="24"/>
          <w:lang w:val="en-GB" w:eastAsia="en-GB" w:bidi="ar-SA"/>
        </w:rPr>
        <w:t>Bognanno</w:t>
      </w:r>
      <w:proofErr w:type="spellEnd"/>
      <w:r w:rsidR="00AA6351">
        <w:rPr>
          <w:rFonts w:cs="Times New Roman"/>
          <w:szCs w:val="24"/>
          <w:lang w:val="en-GB" w:eastAsia="en-GB" w:bidi="ar-SA"/>
        </w:rPr>
        <w:t>, M</w:t>
      </w:r>
      <w:r w:rsidRPr="00362B5A">
        <w:rPr>
          <w:rFonts w:cs="Times New Roman"/>
          <w:szCs w:val="24"/>
          <w:lang w:val="en-GB" w:eastAsia="en-GB" w:bidi="ar-SA"/>
        </w:rPr>
        <w:t xml:space="preserve">. </w:t>
      </w:r>
      <w:r w:rsidR="00AA6351">
        <w:rPr>
          <w:rFonts w:cs="Times New Roman"/>
          <w:szCs w:val="24"/>
          <w:lang w:val="en-GB" w:eastAsia="en-GB" w:bidi="ar-SA"/>
        </w:rPr>
        <w:t>2008, ‘</w:t>
      </w:r>
      <w:r w:rsidRPr="00362B5A">
        <w:rPr>
          <w:rFonts w:cs="Times New Roman"/>
          <w:szCs w:val="24"/>
          <w:lang w:val="en-GB" w:eastAsia="en-GB" w:bidi="ar-SA"/>
        </w:rPr>
        <w:t>Promotions, demotions, halo effects, and the earnings dynamics of American executives</w:t>
      </w:r>
      <w:r w:rsidR="00AA6351">
        <w:rPr>
          <w:rFonts w:cs="Times New Roman"/>
          <w:szCs w:val="24"/>
          <w:lang w:val="en-GB" w:eastAsia="en-GB" w:bidi="ar-SA"/>
        </w:rPr>
        <w:t>’</w:t>
      </w:r>
      <w:r w:rsidR="00B53231">
        <w:rPr>
          <w:rFonts w:cs="Times New Roman"/>
          <w:szCs w:val="24"/>
          <w:lang w:val="en-GB" w:eastAsia="en-GB" w:bidi="ar-SA"/>
        </w:rPr>
        <w:t>,</w:t>
      </w:r>
      <w:r w:rsidRPr="00362B5A">
        <w:rPr>
          <w:rFonts w:cs="Times New Roman"/>
          <w:szCs w:val="24"/>
          <w:lang w:val="en-GB" w:eastAsia="en-GB" w:bidi="ar-SA"/>
        </w:rPr>
        <w:t xml:space="preserve"> </w:t>
      </w:r>
      <w:r w:rsidRPr="00362B5A">
        <w:rPr>
          <w:rFonts w:cs="Times New Roman"/>
          <w:i/>
          <w:iCs/>
          <w:szCs w:val="24"/>
          <w:lang w:val="en-GB" w:eastAsia="en-GB" w:bidi="ar-SA"/>
        </w:rPr>
        <w:t xml:space="preserve">Journal of </w:t>
      </w:r>
      <w:proofErr w:type="spellStart"/>
      <w:r w:rsidRPr="00362B5A">
        <w:rPr>
          <w:rFonts w:cs="Times New Roman"/>
          <w:i/>
          <w:iCs/>
          <w:szCs w:val="24"/>
          <w:lang w:val="en-GB" w:eastAsia="en-GB" w:bidi="ar-SA"/>
        </w:rPr>
        <w:t>Labor</w:t>
      </w:r>
      <w:proofErr w:type="spellEnd"/>
      <w:r w:rsidRPr="00362B5A">
        <w:rPr>
          <w:rFonts w:cs="Times New Roman"/>
          <w:i/>
          <w:iCs/>
          <w:szCs w:val="24"/>
          <w:lang w:val="en-GB" w:eastAsia="en-GB" w:bidi="ar-SA"/>
        </w:rPr>
        <w:t xml:space="preserve"> Economics</w:t>
      </w:r>
      <w:r w:rsidR="00AA6351">
        <w:rPr>
          <w:rFonts w:cs="Times New Roman"/>
          <w:szCs w:val="24"/>
          <w:lang w:val="en-GB" w:eastAsia="en-GB" w:bidi="ar-SA"/>
        </w:rPr>
        <w:t xml:space="preserve">, vol. </w:t>
      </w:r>
      <w:r w:rsidRPr="00362B5A">
        <w:rPr>
          <w:rFonts w:cs="Times New Roman"/>
          <w:szCs w:val="24"/>
          <w:lang w:val="en-GB" w:eastAsia="en-GB" w:bidi="ar-SA"/>
        </w:rPr>
        <w:t>26</w:t>
      </w:r>
      <w:r w:rsidR="00AA6351">
        <w:rPr>
          <w:rFonts w:cs="Times New Roman"/>
          <w:szCs w:val="24"/>
          <w:lang w:val="en-GB" w:eastAsia="en-GB" w:bidi="ar-SA"/>
        </w:rPr>
        <w:t>, pp.</w:t>
      </w:r>
      <w:r w:rsidRPr="00362B5A">
        <w:rPr>
          <w:rFonts w:cs="Times New Roman"/>
          <w:szCs w:val="24"/>
          <w:lang w:val="en-GB" w:eastAsia="en-GB" w:bidi="ar-SA"/>
        </w:rPr>
        <w:t xml:space="preserve"> 287-310.</w:t>
      </w:r>
      <w:proofErr w:type="gramEnd"/>
    </w:p>
    <w:p w:rsidR="00812F06" w:rsidRDefault="00812F06" w:rsidP="00812F06">
      <w:pPr>
        <w:spacing w:line="276" w:lineRule="auto"/>
        <w:rPr>
          <w:lang w:val="en-AU"/>
        </w:rPr>
      </w:pPr>
    </w:p>
    <w:p w:rsidR="00812F06" w:rsidRDefault="00812F06" w:rsidP="00812F06">
      <w:pPr>
        <w:spacing w:line="276" w:lineRule="auto"/>
        <w:rPr>
          <w:lang w:val="en-AU"/>
        </w:rPr>
      </w:pPr>
      <w:proofErr w:type="spellStart"/>
      <w:r w:rsidRPr="00362B5A">
        <w:rPr>
          <w:lang w:val="en-AU"/>
        </w:rPr>
        <w:t>Bognanno</w:t>
      </w:r>
      <w:proofErr w:type="spellEnd"/>
      <w:r w:rsidRPr="00362B5A">
        <w:rPr>
          <w:lang w:val="en-AU"/>
        </w:rPr>
        <w:t>, M</w:t>
      </w:r>
      <w:r w:rsidR="00AA6351">
        <w:rPr>
          <w:lang w:val="en-AU"/>
        </w:rPr>
        <w:t>.</w:t>
      </w:r>
      <w:r w:rsidRPr="00362B5A">
        <w:rPr>
          <w:lang w:val="en-AU"/>
        </w:rPr>
        <w:t xml:space="preserve"> L. </w:t>
      </w:r>
      <w:r w:rsidR="00AA6351">
        <w:rPr>
          <w:lang w:val="en-AU"/>
        </w:rPr>
        <w:t>2001, ‘</w:t>
      </w:r>
      <w:r w:rsidRPr="00362B5A">
        <w:rPr>
          <w:lang w:val="en-AU"/>
        </w:rPr>
        <w:t>Corporate tournaments</w:t>
      </w:r>
      <w:r w:rsidR="00AA6351">
        <w:rPr>
          <w:lang w:val="en-AU"/>
        </w:rPr>
        <w:t>’</w:t>
      </w:r>
      <w:r w:rsidR="00B53231">
        <w:rPr>
          <w:lang w:val="en-AU"/>
        </w:rPr>
        <w:t>,</w:t>
      </w:r>
      <w:r w:rsidRPr="00362B5A">
        <w:rPr>
          <w:lang w:val="en-AU"/>
        </w:rPr>
        <w:t xml:space="preserve"> </w:t>
      </w:r>
      <w:r w:rsidRPr="00362B5A">
        <w:rPr>
          <w:i/>
          <w:lang w:val="en-AU"/>
        </w:rPr>
        <w:t xml:space="preserve">Journal of </w:t>
      </w:r>
      <w:proofErr w:type="spellStart"/>
      <w:r w:rsidRPr="00362B5A">
        <w:rPr>
          <w:i/>
          <w:lang w:val="en-AU"/>
        </w:rPr>
        <w:t>Labor</w:t>
      </w:r>
      <w:proofErr w:type="spellEnd"/>
      <w:r w:rsidRPr="00362B5A">
        <w:rPr>
          <w:i/>
          <w:lang w:val="en-AU"/>
        </w:rPr>
        <w:t xml:space="preserve"> Economics</w:t>
      </w:r>
      <w:r w:rsidR="00AA6351">
        <w:rPr>
          <w:lang w:val="en-AU"/>
        </w:rPr>
        <w:t xml:space="preserve">, vol. </w:t>
      </w:r>
      <w:r w:rsidRPr="00362B5A">
        <w:rPr>
          <w:lang w:val="en-AU"/>
        </w:rPr>
        <w:t>19</w:t>
      </w:r>
      <w:r w:rsidR="00AA6351">
        <w:rPr>
          <w:lang w:val="en-AU"/>
        </w:rPr>
        <w:t xml:space="preserve">, pp. </w:t>
      </w:r>
      <w:r w:rsidRPr="00362B5A">
        <w:rPr>
          <w:lang w:val="en-AU"/>
        </w:rPr>
        <w:t>290-315.</w:t>
      </w:r>
    </w:p>
    <w:p w:rsidR="00812F06" w:rsidRPr="000F2880" w:rsidRDefault="00812F06" w:rsidP="00812F06">
      <w:pPr>
        <w:spacing w:line="276" w:lineRule="auto"/>
        <w:rPr>
          <w:lang w:val="en-AU"/>
        </w:rPr>
      </w:pPr>
    </w:p>
    <w:p w:rsidR="00812F06" w:rsidRPr="000F2880" w:rsidRDefault="00812F06" w:rsidP="00812F06">
      <w:pPr>
        <w:spacing w:line="276" w:lineRule="auto"/>
        <w:rPr>
          <w:lang w:val="en-AU"/>
        </w:rPr>
      </w:pPr>
      <w:proofErr w:type="gramStart"/>
      <w:r w:rsidRPr="000F2880">
        <w:rPr>
          <w:lang w:val="en-AU"/>
        </w:rPr>
        <w:t xml:space="preserve">Boot, </w:t>
      </w:r>
      <w:r w:rsidR="00AA6351" w:rsidRPr="000F2880">
        <w:rPr>
          <w:lang w:val="en-AU"/>
        </w:rPr>
        <w:t xml:space="preserve">H. M. </w:t>
      </w:r>
      <w:r w:rsidR="00AA6351">
        <w:rPr>
          <w:lang w:val="en-AU"/>
        </w:rPr>
        <w:t>1991, ‘</w:t>
      </w:r>
      <w:r w:rsidRPr="000F2880">
        <w:rPr>
          <w:lang w:val="en-AU"/>
        </w:rPr>
        <w:t xml:space="preserve">Salaries and </w:t>
      </w:r>
      <w:r w:rsidR="00AA6351">
        <w:rPr>
          <w:lang w:val="en-AU"/>
        </w:rPr>
        <w:t>c</w:t>
      </w:r>
      <w:r w:rsidRPr="000F2880">
        <w:rPr>
          <w:lang w:val="en-AU"/>
        </w:rPr>
        <w:t xml:space="preserve">areer </w:t>
      </w:r>
      <w:r w:rsidR="00AA6351">
        <w:rPr>
          <w:lang w:val="en-AU"/>
        </w:rPr>
        <w:t>e</w:t>
      </w:r>
      <w:r w:rsidRPr="000F2880">
        <w:rPr>
          <w:lang w:val="en-AU"/>
        </w:rPr>
        <w:t>arnings in the Bank of Scotland, 1730-1880</w:t>
      </w:r>
      <w:r w:rsidR="00AA6351">
        <w:rPr>
          <w:lang w:val="en-AU"/>
        </w:rPr>
        <w:t>’</w:t>
      </w:r>
      <w:r w:rsidR="00B53231">
        <w:rPr>
          <w:lang w:val="en-AU"/>
        </w:rPr>
        <w:t>,</w:t>
      </w:r>
      <w:r w:rsidRPr="000F2880">
        <w:rPr>
          <w:lang w:val="en-AU"/>
        </w:rPr>
        <w:t xml:space="preserve"> </w:t>
      </w:r>
      <w:r w:rsidRPr="000F2880">
        <w:rPr>
          <w:i/>
          <w:lang w:val="en-AU"/>
        </w:rPr>
        <w:t>Economic History Review</w:t>
      </w:r>
      <w:r w:rsidRPr="000F2880">
        <w:rPr>
          <w:lang w:val="en-AU"/>
        </w:rPr>
        <w:t xml:space="preserve">, </w:t>
      </w:r>
      <w:r w:rsidR="003E5895">
        <w:rPr>
          <w:lang w:val="en-AU"/>
        </w:rPr>
        <w:t xml:space="preserve">vol. 44, pp. </w:t>
      </w:r>
      <w:r w:rsidRPr="000F2880">
        <w:rPr>
          <w:lang w:val="en-AU"/>
        </w:rPr>
        <w:t>629-53.</w:t>
      </w:r>
      <w:proofErr w:type="gramEnd"/>
    </w:p>
    <w:p w:rsidR="00812F06" w:rsidRPr="000F2880" w:rsidRDefault="00812F06" w:rsidP="00812F06">
      <w:pPr>
        <w:spacing w:line="276" w:lineRule="auto"/>
        <w:rPr>
          <w:lang w:val="en-AU"/>
        </w:rPr>
      </w:pPr>
    </w:p>
    <w:p w:rsidR="00812F06" w:rsidRDefault="00812F06" w:rsidP="00812F06">
      <w:pPr>
        <w:spacing w:line="276" w:lineRule="auto"/>
        <w:rPr>
          <w:rFonts w:cs="Times New Roman"/>
          <w:szCs w:val="24"/>
          <w:lang w:val="en-AU" w:eastAsia="en-GB" w:bidi="ar-SA"/>
        </w:rPr>
      </w:pPr>
      <w:r w:rsidRPr="00D2092C">
        <w:rPr>
          <w:rFonts w:cs="Times New Roman"/>
          <w:szCs w:val="24"/>
          <w:lang w:val="en-AU" w:eastAsia="en-GB" w:bidi="ar-SA"/>
        </w:rPr>
        <w:t>Brunt, P</w:t>
      </w:r>
      <w:r w:rsidR="003E5895">
        <w:rPr>
          <w:rFonts w:cs="Times New Roman"/>
          <w:szCs w:val="24"/>
          <w:lang w:val="en-AU" w:eastAsia="en-GB" w:bidi="ar-SA"/>
        </w:rPr>
        <w:t>.</w:t>
      </w:r>
      <w:r w:rsidRPr="00D2092C">
        <w:rPr>
          <w:rFonts w:cs="Times New Roman"/>
          <w:szCs w:val="24"/>
          <w:lang w:val="en-AU" w:eastAsia="en-GB" w:bidi="ar-SA"/>
        </w:rPr>
        <w:t xml:space="preserve"> A</w:t>
      </w:r>
      <w:r w:rsidR="003E5895">
        <w:rPr>
          <w:rFonts w:cs="Times New Roman"/>
          <w:szCs w:val="24"/>
          <w:lang w:val="en-AU" w:eastAsia="en-GB" w:bidi="ar-SA"/>
        </w:rPr>
        <w:t>. 1950,</w:t>
      </w:r>
      <w:r w:rsidRPr="00D2092C">
        <w:rPr>
          <w:rFonts w:cs="Times New Roman"/>
          <w:szCs w:val="24"/>
          <w:lang w:val="en-AU" w:eastAsia="en-GB" w:bidi="ar-SA"/>
        </w:rPr>
        <w:t xml:space="preserve"> </w:t>
      </w:r>
      <w:r w:rsidR="003E5895">
        <w:rPr>
          <w:rFonts w:cs="Times New Roman"/>
          <w:szCs w:val="24"/>
          <w:lang w:val="en-AU" w:eastAsia="en-GB" w:bidi="ar-SA"/>
        </w:rPr>
        <w:t>‘</w:t>
      </w:r>
      <w:r w:rsidRPr="00D2092C">
        <w:rPr>
          <w:rFonts w:cs="Times New Roman"/>
          <w:szCs w:val="24"/>
          <w:lang w:val="en-AU" w:eastAsia="en-GB" w:bidi="ar-SA"/>
        </w:rPr>
        <w:t>Pay and superannuation in the Roman army</w:t>
      </w:r>
      <w:r w:rsidR="003E5895">
        <w:rPr>
          <w:rFonts w:cs="Times New Roman"/>
          <w:szCs w:val="24"/>
          <w:lang w:val="en-AU" w:eastAsia="en-GB" w:bidi="ar-SA"/>
        </w:rPr>
        <w:t>’</w:t>
      </w:r>
      <w:r w:rsidR="00B53231">
        <w:rPr>
          <w:rFonts w:cs="Times New Roman"/>
          <w:szCs w:val="24"/>
          <w:lang w:val="en-AU" w:eastAsia="en-GB" w:bidi="ar-SA"/>
        </w:rPr>
        <w:t>,</w:t>
      </w:r>
      <w:r w:rsidRPr="00D2092C">
        <w:rPr>
          <w:rFonts w:cs="Times New Roman"/>
          <w:szCs w:val="24"/>
          <w:lang w:val="en-AU" w:eastAsia="en-GB" w:bidi="ar-SA"/>
        </w:rPr>
        <w:t xml:space="preserve"> </w:t>
      </w:r>
      <w:r w:rsidRPr="00D2092C">
        <w:rPr>
          <w:rFonts w:cs="Times New Roman"/>
          <w:i/>
          <w:iCs/>
          <w:szCs w:val="24"/>
          <w:lang w:val="en-AU" w:eastAsia="en-GB" w:bidi="ar-SA"/>
        </w:rPr>
        <w:t>Papers of the British School at Rome</w:t>
      </w:r>
      <w:r w:rsidR="003E5895">
        <w:rPr>
          <w:rFonts w:cs="Times New Roman"/>
          <w:szCs w:val="24"/>
          <w:lang w:val="en-AU" w:eastAsia="en-GB" w:bidi="ar-SA"/>
        </w:rPr>
        <w:t xml:space="preserve">, vol. </w:t>
      </w:r>
      <w:r w:rsidRPr="00D2092C">
        <w:rPr>
          <w:rFonts w:cs="Times New Roman"/>
          <w:szCs w:val="24"/>
          <w:lang w:val="en-AU" w:eastAsia="en-GB" w:bidi="ar-SA"/>
        </w:rPr>
        <w:t>18</w:t>
      </w:r>
      <w:r w:rsidR="003E5895">
        <w:rPr>
          <w:rFonts w:cs="Times New Roman"/>
          <w:szCs w:val="24"/>
          <w:lang w:val="en-AU" w:eastAsia="en-GB" w:bidi="ar-SA"/>
        </w:rPr>
        <w:t xml:space="preserve">, pp. </w:t>
      </w:r>
      <w:r w:rsidRPr="00D2092C">
        <w:rPr>
          <w:rFonts w:cs="Times New Roman"/>
          <w:szCs w:val="24"/>
          <w:lang w:val="en-AU" w:eastAsia="en-GB" w:bidi="ar-SA"/>
        </w:rPr>
        <w:t>50-71.</w:t>
      </w:r>
    </w:p>
    <w:p w:rsidR="00812F06" w:rsidRDefault="00812F06" w:rsidP="00812F06">
      <w:pPr>
        <w:spacing w:line="276" w:lineRule="auto"/>
        <w:rPr>
          <w:rFonts w:cs="Times New Roman"/>
          <w:szCs w:val="24"/>
          <w:lang w:val="en-AU" w:eastAsia="en-GB" w:bidi="ar-SA"/>
        </w:rPr>
      </w:pPr>
    </w:p>
    <w:p w:rsidR="00812F06" w:rsidRPr="00D2092C" w:rsidRDefault="00812F06" w:rsidP="00812F06">
      <w:pPr>
        <w:spacing w:line="276" w:lineRule="auto"/>
        <w:rPr>
          <w:rFonts w:cs="Times New Roman"/>
          <w:szCs w:val="24"/>
          <w:lang w:val="en-AU" w:eastAsia="en-GB" w:bidi="ar-SA"/>
        </w:rPr>
      </w:pPr>
      <w:r>
        <w:rPr>
          <w:rFonts w:cs="Times New Roman"/>
          <w:szCs w:val="24"/>
          <w:lang w:val="en-AU" w:eastAsia="en-GB" w:bidi="ar-SA"/>
        </w:rPr>
        <w:t>Cardoso, A</w:t>
      </w:r>
      <w:r w:rsidR="00E513BB">
        <w:rPr>
          <w:rFonts w:cs="Times New Roman"/>
          <w:szCs w:val="24"/>
          <w:lang w:val="en-AU" w:eastAsia="en-GB" w:bidi="ar-SA"/>
        </w:rPr>
        <w:t>.</w:t>
      </w:r>
      <w:r>
        <w:rPr>
          <w:rFonts w:cs="Times New Roman"/>
          <w:szCs w:val="24"/>
          <w:lang w:val="en-AU" w:eastAsia="en-GB" w:bidi="ar-SA"/>
        </w:rPr>
        <w:t xml:space="preserve"> R</w:t>
      </w:r>
      <w:r w:rsidR="00E513BB">
        <w:rPr>
          <w:rFonts w:cs="Times New Roman"/>
          <w:szCs w:val="24"/>
          <w:lang w:val="en-AU" w:eastAsia="en-GB" w:bidi="ar-SA"/>
        </w:rPr>
        <w:t>.</w:t>
      </w:r>
      <w:r>
        <w:rPr>
          <w:rFonts w:cs="Times New Roman"/>
          <w:szCs w:val="24"/>
          <w:lang w:val="en-AU" w:eastAsia="en-GB" w:bidi="ar-SA"/>
        </w:rPr>
        <w:t xml:space="preserve"> 2000, </w:t>
      </w:r>
      <w:r w:rsidR="00E513BB">
        <w:rPr>
          <w:rFonts w:cs="Times New Roman"/>
          <w:szCs w:val="24"/>
          <w:lang w:val="en-AU" w:eastAsia="en-GB" w:bidi="ar-SA"/>
        </w:rPr>
        <w:t>‘</w:t>
      </w:r>
      <w:r>
        <w:rPr>
          <w:rFonts w:cs="Times New Roman"/>
          <w:szCs w:val="24"/>
          <w:lang w:val="en-AU" w:eastAsia="en-GB" w:bidi="ar-SA"/>
        </w:rPr>
        <w:t xml:space="preserve">Firms </w:t>
      </w:r>
      <w:r w:rsidR="00E513BB">
        <w:rPr>
          <w:rFonts w:cs="Times New Roman"/>
          <w:szCs w:val="24"/>
          <w:lang w:val="en-AU" w:eastAsia="en-GB" w:bidi="ar-SA"/>
        </w:rPr>
        <w:t>w</w:t>
      </w:r>
      <w:r>
        <w:rPr>
          <w:rFonts w:cs="Times New Roman"/>
          <w:szCs w:val="24"/>
          <w:lang w:val="en-AU" w:eastAsia="en-GB" w:bidi="ar-SA"/>
        </w:rPr>
        <w:t xml:space="preserve">age </w:t>
      </w:r>
      <w:r w:rsidR="00E513BB">
        <w:rPr>
          <w:rFonts w:cs="Times New Roman"/>
          <w:szCs w:val="24"/>
          <w:lang w:val="en-AU" w:eastAsia="en-GB" w:bidi="ar-SA"/>
        </w:rPr>
        <w:t>d</w:t>
      </w:r>
      <w:r>
        <w:rPr>
          <w:rFonts w:cs="Times New Roman"/>
          <w:szCs w:val="24"/>
          <w:lang w:val="en-AU" w:eastAsia="en-GB" w:bidi="ar-SA"/>
        </w:rPr>
        <w:t xml:space="preserve">ifferentials across </w:t>
      </w:r>
      <w:r w:rsidR="00E513BB">
        <w:rPr>
          <w:rFonts w:cs="Times New Roman"/>
          <w:szCs w:val="24"/>
          <w:lang w:val="en-AU" w:eastAsia="en-GB" w:bidi="ar-SA"/>
        </w:rPr>
        <w:t>f</w:t>
      </w:r>
      <w:r>
        <w:rPr>
          <w:rFonts w:cs="Times New Roman"/>
          <w:szCs w:val="24"/>
          <w:lang w:val="en-AU" w:eastAsia="en-GB" w:bidi="ar-SA"/>
        </w:rPr>
        <w:t xml:space="preserve">irms: An </w:t>
      </w:r>
      <w:r w:rsidR="00E513BB">
        <w:rPr>
          <w:rFonts w:cs="Times New Roman"/>
          <w:szCs w:val="24"/>
          <w:lang w:val="en-AU" w:eastAsia="en-GB" w:bidi="ar-SA"/>
        </w:rPr>
        <w:t>a</w:t>
      </w:r>
      <w:r>
        <w:rPr>
          <w:rFonts w:cs="Times New Roman"/>
          <w:szCs w:val="24"/>
          <w:lang w:val="en-AU" w:eastAsia="en-GB" w:bidi="ar-SA"/>
        </w:rPr>
        <w:t xml:space="preserve">pplication of </w:t>
      </w:r>
      <w:r w:rsidR="00E513BB">
        <w:rPr>
          <w:rFonts w:cs="Times New Roman"/>
          <w:szCs w:val="24"/>
          <w:lang w:val="en-AU" w:eastAsia="en-GB" w:bidi="ar-SA"/>
        </w:rPr>
        <w:t>m</w:t>
      </w:r>
      <w:r>
        <w:rPr>
          <w:rFonts w:cs="Times New Roman"/>
          <w:szCs w:val="24"/>
          <w:lang w:val="en-AU" w:eastAsia="en-GB" w:bidi="ar-SA"/>
        </w:rPr>
        <w:t xml:space="preserve">ultilevel </w:t>
      </w:r>
      <w:r w:rsidR="00E513BB">
        <w:rPr>
          <w:rFonts w:cs="Times New Roman"/>
          <w:szCs w:val="24"/>
          <w:lang w:val="en-AU" w:eastAsia="en-GB" w:bidi="ar-SA"/>
        </w:rPr>
        <w:t>m</w:t>
      </w:r>
      <w:r>
        <w:rPr>
          <w:rFonts w:cs="Times New Roman"/>
          <w:szCs w:val="24"/>
          <w:lang w:val="en-AU" w:eastAsia="en-GB" w:bidi="ar-SA"/>
        </w:rPr>
        <w:t>odelling</w:t>
      </w:r>
      <w:r w:rsidR="00E513BB">
        <w:rPr>
          <w:rFonts w:cs="Times New Roman"/>
          <w:szCs w:val="24"/>
          <w:lang w:val="en-AU" w:eastAsia="en-GB" w:bidi="ar-SA"/>
        </w:rPr>
        <w:t>’</w:t>
      </w:r>
      <w:r w:rsidR="00B53231">
        <w:rPr>
          <w:rFonts w:cs="Times New Roman"/>
          <w:szCs w:val="24"/>
          <w:lang w:val="en-AU" w:eastAsia="en-GB" w:bidi="ar-SA"/>
        </w:rPr>
        <w:t>,</w:t>
      </w:r>
      <w:r>
        <w:rPr>
          <w:rFonts w:cs="Times New Roman"/>
          <w:szCs w:val="24"/>
          <w:lang w:val="en-AU" w:eastAsia="en-GB" w:bidi="ar-SA"/>
        </w:rPr>
        <w:t xml:space="preserve"> </w:t>
      </w:r>
      <w:r>
        <w:rPr>
          <w:rFonts w:cs="Times New Roman"/>
          <w:i/>
          <w:szCs w:val="24"/>
          <w:lang w:val="en-AU" w:eastAsia="en-GB" w:bidi="ar-SA"/>
        </w:rPr>
        <w:t>Journal of Applied Econometrics</w:t>
      </w:r>
      <w:r w:rsidR="00E513BB">
        <w:rPr>
          <w:rFonts w:cs="Times New Roman"/>
          <w:szCs w:val="24"/>
          <w:lang w:val="en-AU" w:eastAsia="en-GB" w:bidi="ar-SA"/>
        </w:rPr>
        <w:t xml:space="preserve">, vol. </w:t>
      </w:r>
      <w:r>
        <w:rPr>
          <w:rFonts w:cs="Times New Roman"/>
          <w:szCs w:val="24"/>
          <w:lang w:val="en-AU" w:eastAsia="en-GB" w:bidi="ar-SA"/>
        </w:rPr>
        <w:t>15</w:t>
      </w:r>
      <w:r w:rsidR="00E513BB">
        <w:rPr>
          <w:rFonts w:cs="Times New Roman"/>
          <w:szCs w:val="24"/>
          <w:lang w:val="en-AU" w:eastAsia="en-GB" w:bidi="ar-SA"/>
        </w:rPr>
        <w:t>, pp.</w:t>
      </w:r>
      <w:r>
        <w:rPr>
          <w:rFonts w:cs="Times New Roman"/>
          <w:szCs w:val="24"/>
          <w:lang w:val="en-AU" w:eastAsia="en-GB" w:bidi="ar-SA"/>
        </w:rPr>
        <w:t xml:space="preserve"> 343-54.</w:t>
      </w:r>
    </w:p>
    <w:p w:rsidR="00812F06" w:rsidRDefault="00812F06" w:rsidP="00812F06">
      <w:pPr>
        <w:spacing w:line="276" w:lineRule="auto"/>
        <w:rPr>
          <w:rFonts w:cs="Times New Roman"/>
          <w:szCs w:val="24"/>
          <w:lang w:val="en-AU" w:eastAsia="en-GB" w:bidi="ar-SA"/>
        </w:rPr>
      </w:pPr>
    </w:p>
    <w:p w:rsidR="00812F06" w:rsidRPr="00D2092C" w:rsidRDefault="00812F06" w:rsidP="00812F06">
      <w:pPr>
        <w:spacing w:line="276" w:lineRule="auto"/>
        <w:rPr>
          <w:rFonts w:cs="Times New Roman"/>
          <w:szCs w:val="24"/>
          <w:lang w:val="en-AU" w:eastAsia="en-GB" w:bidi="ar-SA"/>
        </w:rPr>
      </w:pPr>
      <w:r>
        <w:rPr>
          <w:rFonts w:cs="Times New Roman"/>
          <w:szCs w:val="24"/>
          <w:lang w:val="en-AU" w:eastAsia="en-GB" w:bidi="ar-SA"/>
        </w:rPr>
        <w:t>Cardoso, A</w:t>
      </w:r>
      <w:r w:rsidR="00A943A8">
        <w:rPr>
          <w:rFonts w:cs="Times New Roman"/>
          <w:szCs w:val="24"/>
          <w:lang w:val="en-AU" w:eastAsia="en-GB" w:bidi="ar-SA"/>
        </w:rPr>
        <w:t>.</w:t>
      </w:r>
      <w:r>
        <w:rPr>
          <w:rFonts w:cs="Times New Roman"/>
          <w:szCs w:val="24"/>
          <w:lang w:val="en-AU" w:eastAsia="en-GB" w:bidi="ar-SA"/>
        </w:rPr>
        <w:t xml:space="preserve"> R</w:t>
      </w:r>
      <w:r w:rsidR="00A943A8">
        <w:rPr>
          <w:rFonts w:cs="Times New Roman"/>
          <w:szCs w:val="24"/>
          <w:lang w:val="en-AU" w:eastAsia="en-GB" w:bidi="ar-SA"/>
        </w:rPr>
        <w:t>.</w:t>
      </w:r>
      <w:r>
        <w:rPr>
          <w:rFonts w:cs="Times New Roman"/>
          <w:szCs w:val="24"/>
          <w:lang w:val="en-AU" w:eastAsia="en-GB" w:bidi="ar-SA"/>
        </w:rPr>
        <w:t xml:space="preserve"> and </w:t>
      </w:r>
      <w:proofErr w:type="spellStart"/>
      <w:r>
        <w:rPr>
          <w:rFonts w:cs="Times New Roman"/>
          <w:szCs w:val="24"/>
          <w:lang w:val="en-AU" w:eastAsia="en-GB" w:bidi="ar-SA"/>
        </w:rPr>
        <w:t>Portela</w:t>
      </w:r>
      <w:proofErr w:type="spellEnd"/>
      <w:r w:rsidR="00A943A8">
        <w:rPr>
          <w:rFonts w:cs="Times New Roman"/>
          <w:szCs w:val="24"/>
          <w:lang w:val="en-AU" w:eastAsia="en-GB" w:bidi="ar-SA"/>
        </w:rPr>
        <w:t>, M.</w:t>
      </w:r>
      <w:r>
        <w:rPr>
          <w:rFonts w:cs="Times New Roman"/>
          <w:szCs w:val="24"/>
          <w:lang w:val="en-AU" w:eastAsia="en-GB" w:bidi="ar-SA"/>
        </w:rPr>
        <w:t xml:space="preserve"> 2009, </w:t>
      </w:r>
      <w:r w:rsidR="00A943A8">
        <w:rPr>
          <w:rFonts w:cs="Times New Roman"/>
          <w:szCs w:val="24"/>
          <w:lang w:val="en-AU" w:eastAsia="en-GB" w:bidi="ar-SA"/>
        </w:rPr>
        <w:t>‘</w:t>
      </w:r>
      <w:r>
        <w:rPr>
          <w:rFonts w:cs="Times New Roman"/>
          <w:szCs w:val="24"/>
          <w:lang w:val="en-AU" w:eastAsia="en-GB" w:bidi="ar-SA"/>
        </w:rPr>
        <w:t xml:space="preserve">Micro </w:t>
      </w:r>
      <w:r w:rsidR="00A943A8">
        <w:rPr>
          <w:rFonts w:cs="Times New Roman"/>
          <w:szCs w:val="24"/>
          <w:lang w:val="en-AU" w:eastAsia="en-GB" w:bidi="ar-SA"/>
        </w:rPr>
        <w:t>f</w:t>
      </w:r>
      <w:r>
        <w:rPr>
          <w:rFonts w:cs="Times New Roman"/>
          <w:szCs w:val="24"/>
          <w:lang w:val="en-AU" w:eastAsia="en-GB" w:bidi="ar-SA"/>
        </w:rPr>
        <w:t xml:space="preserve">oundations for </w:t>
      </w:r>
      <w:r w:rsidR="00A943A8">
        <w:rPr>
          <w:rFonts w:cs="Times New Roman"/>
          <w:szCs w:val="24"/>
          <w:lang w:val="en-AU" w:eastAsia="en-GB" w:bidi="ar-SA"/>
        </w:rPr>
        <w:t>w</w:t>
      </w:r>
      <w:r>
        <w:rPr>
          <w:rFonts w:cs="Times New Roman"/>
          <w:szCs w:val="24"/>
          <w:lang w:val="en-AU" w:eastAsia="en-GB" w:bidi="ar-SA"/>
        </w:rPr>
        <w:t xml:space="preserve">age </w:t>
      </w:r>
      <w:r w:rsidR="00A943A8">
        <w:rPr>
          <w:rFonts w:cs="Times New Roman"/>
          <w:szCs w:val="24"/>
          <w:lang w:val="en-AU" w:eastAsia="en-GB" w:bidi="ar-SA"/>
        </w:rPr>
        <w:t>f</w:t>
      </w:r>
      <w:r>
        <w:rPr>
          <w:rFonts w:cs="Times New Roman"/>
          <w:szCs w:val="24"/>
          <w:lang w:val="en-AU" w:eastAsia="en-GB" w:bidi="ar-SA"/>
        </w:rPr>
        <w:t xml:space="preserve">lexibility: Wage </w:t>
      </w:r>
      <w:r w:rsidR="00A943A8">
        <w:rPr>
          <w:rFonts w:cs="Times New Roman"/>
          <w:szCs w:val="24"/>
          <w:lang w:val="en-AU" w:eastAsia="en-GB" w:bidi="ar-SA"/>
        </w:rPr>
        <w:t>i</w:t>
      </w:r>
      <w:r>
        <w:rPr>
          <w:rFonts w:cs="Times New Roman"/>
          <w:szCs w:val="24"/>
          <w:lang w:val="en-AU" w:eastAsia="en-GB" w:bidi="ar-SA"/>
        </w:rPr>
        <w:t xml:space="preserve">nsurance at the </w:t>
      </w:r>
      <w:r w:rsidR="00A943A8">
        <w:rPr>
          <w:rFonts w:cs="Times New Roman"/>
          <w:szCs w:val="24"/>
          <w:lang w:val="en-AU" w:eastAsia="en-GB" w:bidi="ar-SA"/>
        </w:rPr>
        <w:t>f</w:t>
      </w:r>
      <w:r>
        <w:rPr>
          <w:rFonts w:cs="Times New Roman"/>
          <w:szCs w:val="24"/>
          <w:lang w:val="en-AU" w:eastAsia="en-GB" w:bidi="ar-SA"/>
        </w:rPr>
        <w:t xml:space="preserve">irm </w:t>
      </w:r>
      <w:r w:rsidR="00A943A8">
        <w:rPr>
          <w:rFonts w:cs="Times New Roman"/>
          <w:szCs w:val="24"/>
          <w:lang w:val="en-AU" w:eastAsia="en-GB" w:bidi="ar-SA"/>
        </w:rPr>
        <w:t>l</w:t>
      </w:r>
      <w:r>
        <w:rPr>
          <w:rFonts w:cs="Times New Roman"/>
          <w:szCs w:val="24"/>
          <w:lang w:val="en-AU" w:eastAsia="en-GB" w:bidi="ar-SA"/>
        </w:rPr>
        <w:t>evel</w:t>
      </w:r>
      <w:r w:rsidR="00A943A8">
        <w:rPr>
          <w:rFonts w:cs="Times New Roman"/>
          <w:szCs w:val="24"/>
          <w:lang w:val="en-AU" w:eastAsia="en-GB" w:bidi="ar-SA"/>
        </w:rPr>
        <w:t>’</w:t>
      </w:r>
      <w:r w:rsidR="00B53231">
        <w:rPr>
          <w:rFonts w:cs="Times New Roman"/>
          <w:szCs w:val="24"/>
          <w:lang w:val="en-AU" w:eastAsia="en-GB" w:bidi="ar-SA"/>
        </w:rPr>
        <w:t>,</w:t>
      </w:r>
      <w:r>
        <w:rPr>
          <w:rFonts w:cs="Times New Roman"/>
          <w:szCs w:val="24"/>
          <w:lang w:val="en-AU" w:eastAsia="en-GB" w:bidi="ar-SA"/>
        </w:rPr>
        <w:t xml:space="preserve"> </w:t>
      </w:r>
      <w:r>
        <w:rPr>
          <w:rFonts w:cs="Times New Roman"/>
          <w:i/>
          <w:szCs w:val="24"/>
          <w:lang w:val="en-AU" w:eastAsia="en-GB" w:bidi="ar-SA"/>
        </w:rPr>
        <w:t>Scandinavian Journal of Economics</w:t>
      </w:r>
      <w:r w:rsidR="00A943A8">
        <w:rPr>
          <w:rFonts w:cs="Times New Roman"/>
          <w:szCs w:val="24"/>
          <w:lang w:val="en-AU" w:eastAsia="en-GB" w:bidi="ar-SA"/>
        </w:rPr>
        <w:t xml:space="preserve">, vol. </w:t>
      </w:r>
      <w:r>
        <w:rPr>
          <w:rFonts w:cs="Times New Roman"/>
          <w:szCs w:val="24"/>
          <w:lang w:val="en-AU" w:eastAsia="en-GB" w:bidi="ar-SA"/>
        </w:rPr>
        <w:t>111</w:t>
      </w:r>
      <w:r w:rsidR="00A943A8">
        <w:rPr>
          <w:rFonts w:cs="Times New Roman"/>
          <w:szCs w:val="24"/>
          <w:lang w:val="en-AU" w:eastAsia="en-GB" w:bidi="ar-SA"/>
        </w:rPr>
        <w:t xml:space="preserve">, pp. </w:t>
      </w:r>
      <w:r>
        <w:rPr>
          <w:rFonts w:cs="Times New Roman"/>
          <w:szCs w:val="24"/>
          <w:lang w:val="en-AU" w:eastAsia="en-GB" w:bidi="ar-SA"/>
        </w:rPr>
        <w:t>29-50.</w:t>
      </w:r>
    </w:p>
    <w:p w:rsidR="00812F06" w:rsidRPr="000F2880" w:rsidRDefault="00812F06" w:rsidP="00812F06">
      <w:pPr>
        <w:spacing w:line="276" w:lineRule="auto"/>
        <w:rPr>
          <w:lang w:val="en-AU"/>
        </w:rPr>
      </w:pPr>
    </w:p>
    <w:p w:rsidR="00812F06" w:rsidRDefault="00812F06" w:rsidP="00812F06">
      <w:pPr>
        <w:spacing w:line="276" w:lineRule="auto"/>
        <w:rPr>
          <w:lang w:val="en-AU"/>
        </w:rPr>
      </w:pPr>
      <w:proofErr w:type="spellStart"/>
      <w:r w:rsidRPr="000F2880">
        <w:rPr>
          <w:lang w:val="en-AU"/>
        </w:rPr>
        <w:t>Charness</w:t>
      </w:r>
      <w:proofErr w:type="spellEnd"/>
      <w:r w:rsidRPr="000F2880">
        <w:rPr>
          <w:lang w:val="en-AU"/>
        </w:rPr>
        <w:t>, G</w:t>
      </w:r>
      <w:r w:rsidR="00411932">
        <w:rPr>
          <w:lang w:val="en-AU"/>
        </w:rPr>
        <w:t>.</w:t>
      </w:r>
      <w:r w:rsidRPr="000F2880">
        <w:rPr>
          <w:lang w:val="en-AU"/>
        </w:rPr>
        <w:t xml:space="preserve"> and Kuhn, P</w:t>
      </w:r>
      <w:r w:rsidR="00411932">
        <w:rPr>
          <w:lang w:val="en-AU"/>
        </w:rPr>
        <w:t>.</w:t>
      </w:r>
      <w:r w:rsidRPr="000F2880">
        <w:rPr>
          <w:lang w:val="en-AU"/>
        </w:rPr>
        <w:t xml:space="preserve"> </w:t>
      </w:r>
      <w:r w:rsidR="00411932">
        <w:rPr>
          <w:lang w:val="en-AU"/>
        </w:rPr>
        <w:t>2011, ‘</w:t>
      </w:r>
      <w:r w:rsidRPr="000F2880">
        <w:rPr>
          <w:lang w:val="en-AU"/>
        </w:rPr>
        <w:t xml:space="preserve">Lab </w:t>
      </w:r>
      <w:proofErr w:type="spellStart"/>
      <w:r w:rsidR="00411932">
        <w:rPr>
          <w:lang w:val="en-AU"/>
        </w:rPr>
        <w:t>l</w:t>
      </w:r>
      <w:r w:rsidRPr="000F2880">
        <w:rPr>
          <w:lang w:val="en-AU"/>
        </w:rPr>
        <w:t>abor</w:t>
      </w:r>
      <w:proofErr w:type="spellEnd"/>
      <w:r w:rsidRPr="000F2880">
        <w:rPr>
          <w:lang w:val="en-AU"/>
        </w:rPr>
        <w:t xml:space="preserve">: What </w:t>
      </w:r>
      <w:r w:rsidR="00411932">
        <w:rPr>
          <w:lang w:val="en-AU"/>
        </w:rPr>
        <w:t>c</w:t>
      </w:r>
      <w:r w:rsidRPr="000F2880">
        <w:rPr>
          <w:lang w:val="en-AU"/>
        </w:rPr>
        <w:t xml:space="preserve">an </w:t>
      </w:r>
      <w:proofErr w:type="spellStart"/>
      <w:r w:rsidR="00411932">
        <w:rPr>
          <w:lang w:val="en-AU"/>
        </w:rPr>
        <w:t>l</w:t>
      </w:r>
      <w:r w:rsidRPr="000F2880">
        <w:rPr>
          <w:lang w:val="en-AU"/>
        </w:rPr>
        <w:t>abor</w:t>
      </w:r>
      <w:proofErr w:type="spellEnd"/>
      <w:r w:rsidRPr="000F2880">
        <w:rPr>
          <w:lang w:val="en-AU"/>
        </w:rPr>
        <w:t xml:space="preserve"> </w:t>
      </w:r>
      <w:r w:rsidR="00411932">
        <w:rPr>
          <w:lang w:val="en-AU"/>
        </w:rPr>
        <w:t>e</w:t>
      </w:r>
      <w:r w:rsidRPr="000F2880">
        <w:rPr>
          <w:lang w:val="en-AU"/>
        </w:rPr>
        <w:t xml:space="preserve">conomists </w:t>
      </w:r>
      <w:r w:rsidR="00411932">
        <w:rPr>
          <w:lang w:val="en-AU"/>
        </w:rPr>
        <w:t>l</w:t>
      </w:r>
      <w:r w:rsidRPr="000F2880">
        <w:rPr>
          <w:lang w:val="en-AU"/>
        </w:rPr>
        <w:t xml:space="preserve">earn from the </w:t>
      </w:r>
      <w:r w:rsidR="00411932">
        <w:rPr>
          <w:lang w:val="en-AU"/>
        </w:rPr>
        <w:t>l</w:t>
      </w:r>
      <w:r w:rsidRPr="000F2880">
        <w:rPr>
          <w:lang w:val="en-AU"/>
        </w:rPr>
        <w:t>ab?</w:t>
      </w:r>
      <w:proofErr w:type="gramStart"/>
      <w:r w:rsidR="00411932">
        <w:rPr>
          <w:lang w:val="en-AU"/>
        </w:rPr>
        <w:t>’</w:t>
      </w:r>
      <w:r w:rsidR="00B53231">
        <w:rPr>
          <w:lang w:val="en-AU"/>
        </w:rPr>
        <w:t>,</w:t>
      </w:r>
      <w:proofErr w:type="gramEnd"/>
      <w:r w:rsidRPr="000F2880">
        <w:rPr>
          <w:lang w:val="en-AU"/>
        </w:rPr>
        <w:t xml:space="preserve"> in </w:t>
      </w:r>
      <w:r w:rsidRPr="000F2880">
        <w:rPr>
          <w:i/>
          <w:lang w:val="en-AU"/>
        </w:rPr>
        <w:t xml:space="preserve">Handbook of </w:t>
      </w:r>
      <w:proofErr w:type="spellStart"/>
      <w:r w:rsidRPr="000F2880">
        <w:rPr>
          <w:i/>
          <w:lang w:val="en-AU"/>
        </w:rPr>
        <w:t>Labor</w:t>
      </w:r>
      <w:proofErr w:type="spellEnd"/>
      <w:r w:rsidRPr="000F2880">
        <w:rPr>
          <w:i/>
          <w:lang w:val="en-AU"/>
        </w:rPr>
        <w:t xml:space="preserve"> Economics</w:t>
      </w:r>
      <w:r w:rsidRPr="000F2880">
        <w:rPr>
          <w:lang w:val="en-AU"/>
        </w:rPr>
        <w:t xml:space="preserve">, </w:t>
      </w:r>
      <w:proofErr w:type="spellStart"/>
      <w:r w:rsidR="00411932">
        <w:rPr>
          <w:lang w:val="en-AU"/>
        </w:rPr>
        <w:t>eds</w:t>
      </w:r>
      <w:proofErr w:type="spellEnd"/>
      <w:r w:rsidR="00411932">
        <w:rPr>
          <w:lang w:val="en-AU"/>
        </w:rPr>
        <w:t xml:space="preserve"> </w:t>
      </w:r>
      <w:r w:rsidR="00411932" w:rsidRPr="000F2880">
        <w:rPr>
          <w:lang w:val="en-AU"/>
        </w:rPr>
        <w:t xml:space="preserve">O. </w:t>
      </w:r>
      <w:proofErr w:type="spellStart"/>
      <w:r w:rsidR="00411932" w:rsidRPr="000F2880">
        <w:rPr>
          <w:lang w:val="en-AU"/>
        </w:rPr>
        <w:t>Ashenfelter</w:t>
      </w:r>
      <w:proofErr w:type="spellEnd"/>
      <w:r w:rsidR="00411932" w:rsidRPr="000F2880">
        <w:rPr>
          <w:lang w:val="en-AU"/>
        </w:rPr>
        <w:t xml:space="preserve"> </w:t>
      </w:r>
      <w:r w:rsidR="00411932">
        <w:rPr>
          <w:lang w:val="en-AU"/>
        </w:rPr>
        <w:t xml:space="preserve">and </w:t>
      </w:r>
      <w:r w:rsidR="00411932" w:rsidRPr="000F2880">
        <w:rPr>
          <w:lang w:val="en-AU"/>
        </w:rPr>
        <w:t>D. Card</w:t>
      </w:r>
      <w:r w:rsidR="00411932">
        <w:rPr>
          <w:lang w:val="en-AU"/>
        </w:rPr>
        <w:t>,</w:t>
      </w:r>
      <w:r w:rsidR="00411932" w:rsidRPr="000F2880">
        <w:rPr>
          <w:lang w:val="en-AU"/>
        </w:rPr>
        <w:t xml:space="preserve"> </w:t>
      </w:r>
      <w:r w:rsidRPr="000F2880">
        <w:rPr>
          <w:lang w:val="en-AU"/>
        </w:rPr>
        <w:t>Elsevier</w:t>
      </w:r>
      <w:r w:rsidR="00411932">
        <w:rPr>
          <w:lang w:val="en-AU"/>
        </w:rPr>
        <w:t>.</w:t>
      </w:r>
    </w:p>
    <w:p w:rsidR="00812F06" w:rsidRDefault="00812F06" w:rsidP="00812F06">
      <w:pPr>
        <w:spacing w:line="276" w:lineRule="auto"/>
        <w:rPr>
          <w:lang w:val="en-AU"/>
        </w:rPr>
      </w:pPr>
    </w:p>
    <w:p w:rsidR="00812F06" w:rsidRDefault="00812F06" w:rsidP="00812F06">
      <w:pPr>
        <w:spacing w:line="276" w:lineRule="auto"/>
        <w:rPr>
          <w:lang w:val="en-AU"/>
        </w:rPr>
      </w:pPr>
      <w:r>
        <w:rPr>
          <w:lang w:val="en-AU"/>
        </w:rPr>
        <w:t>Datta Gupta, N</w:t>
      </w:r>
      <w:r w:rsidR="00411932">
        <w:rPr>
          <w:lang w:val="en-AU"/>
        </w:rPr>
        <w:t>.</w:t>
      </w:r>
      <w:r>
        <w:rPr>
          <w:lang w:val="en-AU"/>
        </w:rPr>
        <w:t xml:space="preserve"> and Eriksson, </w:t>
      </w:r>
      <w:r w:rsidR="00411932">
        <w:rPr>
          <w:lang w:val="en-AU"/>
        </w:rPr>
        <w:t xml:space="preserve">T. </w:t>
      </w:r>
      <w:r>
        <w:rPr>
          <w:lang w:val="en-AU"/>
        </w:rPr>
        <w:t xml:space="preserve">2012, </w:t>
      </w:r>
      <w:r w:rsidR="00411932">
        <w:rPr>
          <w:lang w:val="en-AU"/>
        </w:rPr>
        <w:t>‘</w:t>
      </w:r>
      <w:r>
        <w:rPr>
          <w:lang w:val="en-AU"/>
        </w:rPr>
        <w:t xml:space="preserve">HRM </w:t>
      </w:r>
      <w:r w:rsidR="00411932">
        <w:rPr>
          <w:lang w:val="en-AU"/>
        </w:rPr>
        <w:t>p</w:t>
      </w:r>
      <w:r>
        <w:rPr>
          <w:lang w:val="en-AU"/>
        </w:rPr>
        <w:t xml:space="preserve">ractices and the </w:t>
      </w:r>
      <w:r w:rsidR="00411932">
        <w:rPr>
          <w:lang w:val="en-AU"/>
        </w:rPr>
        <w:t>w</w:t>
      </w:r>
      <w:r>
        <w:rPr>
          <w:lang w:val="en-AU"/>
        </w:rPr>
        <w:t>ithin-</w:t>
      </w:r>
      <w:r w:rsidR="00411932">
        <w:rPr>
          <w:lang w:val="en-AU"/>
        </w:rPr>
        <w:t>f</w:t>
      </w:r>
      <w:r>
        <w:rPr>
          <w:lang w:val="en-AU"/>
        </w:rPr>
        <w:t xml:space="preserve">irm </w:t>
      </w:r>
      <w:r w:rsidR="00411932">
        <w:rPr>
          <w:lang w:val="en-AU"/>
        </w:rPr>
        <w:t>g</w:t>
      </w:r>
      <w:r>
        <w:rPr>
          <w:lang w:val="en-AU"/>
        </w:rPr>
        <w:t xml:space="preserve">ender </w:t>
      </w:r>
      <w:r w:rsidR="00411932">
        <w:rPr>
          <w:lang w:val="en-AU"/>
        </w:rPr>
        <w:t>w</w:t>
      </w:r>
      <w:r>
        <w:rPr>
          <w:lang w:val="en-AU"/>
        </w:rPr>
        <w:t xml:space="preserve">age </w:t>
      </w:r>
      <w:r w:rsidR="00411932">
        <w:rPr>
          <w:lang w:val="en-AU"/>
        </w:rPr>
        <w:t>g</w:t>
      </w:r>
      <w:r>
        <w:rPr>
          <w:lang w:val="en-AU"/>
        </w:rPr>
        <w:t>ap</w:t>
      </w:r>
      <w:r w:rsidR="00411932">
        <w:rPr>
          <w:lang w:val="en-AU"/>
        </w:rPr>
        <w:t>’</w:t>
      </w:r>
      <w:r w:rsidR="00B53231">
        <w:rPr>
          <w:lang w:val="en-AU"/>
        </w:rPr>
        <w:t>,</w:t>
      </w:r>
      <w:r>
        <w:rPr>
          <w:lang w:val="en-AU"/>
        </w:rPr>
        <w:t xml:space="preserve"> </w:t>
      </w:r>
      <w:r w:rsidRPr="002349E5">
        <w:rPr>
          <w:i/>
          <w:lang w:val="en-AU"/>
        </w:rPr>
        <w:t>British Journal of Industrial Relations</w:t>
      </w:r>
      <w:r>
        <w:rPr>
          <w:lang w:val="en-AU"/>
        </w:rPr>
        <w:t xml:space="preserve">, </w:t>
      </w:r>
      <w:r w:rsidR="00411932">
        <w:rPr>
          <w:lang w:val="en-AU"/>
        </w:rPr>
        <w:t xml:space="preserve">vol. </w:t>
      </w:r>
      <w:r>
        <w:rPr>
          <w:lang w:val="en-AU"/>
        </w:rPr>
        <w:t xml:space="preserve">50, </w:t>
      </w:r>
      <w:r w:rsidR="00411932">
        <w:rPr>
          <w:lang w:val="en-AU"/>
        </w:rPr>
        <w:t xml:space="preserve">pp. </w:t>
      </w:r>
      <w:r>
        <w:rPr>
          <w:lang w:val="en-AU"/>
        </w:rPr>
        <w:t>554-80.</w:t>
      </w:r>
    </w:p>
    <w:p w:rsidR="00812F06" w:rsidRPr="000F2880" w:rsidRDefault="00812F06" w:rsidP="00812F06">
      <w:pPr>
        <w:spacing w:line="276" w:lineRule="auto"/>
        <w:rPr>
          <w:lang w:val="en-AU"/>
        </w:rPr>
      </w:pPr>
    </w:p>
    <w:p w:rsidR="00812F06" w:rsidRDefault="00812F06" w:rsidP="00812F06">
      <w:pPr>
        <w:spacing w:line="276" w:lineRule="auto"/>
        <w:rPr>
          <w:rFonts w:cs="Times New Roman"/>
          <w:szCs w:val="24"/>
          <w:lang w:val="en-GB" w:eastAsia="en-GB" w:bidi="ar-SA"/>
        </w:rPr>
      </w:pPr>
      <w:proofErr w:type="gramStart"/>
      <w:r w:rsidRPr="00DB6EA7">
        <w:rPr>
          <w:rFonts w:cs="Times New Roman"/>
          <w:szCs w:val="24"/>
          <w:lang w:val="en-GB" w:eastAsia="en-GB" w:bidi="ar-SA"/>
        </w:rPr>
        <w:t>Fahey, C</w:t>
      </w:r>
      <w:r w:rsidR="00935EB8">
        <w:rPr>
          <w:rFonts w:cs="Times New Roman"/>
          <w:szCs w:val="24"/>
          <w:lang w:val="en-GB" w:eastAsia="en-GB" w:bidi="ar-SA"/>
        </w:rPr>
        <w:t>.</w:t>
      </w:r>
      <w:r w:rsidRPr="00DB6EA7">
        <w:rPr>
          <w:rFonts w:cs="Times New Roman"/>
          <w:szCs w:val="24"/>
          <w:lang w:val="en-GB" w:eastAsia="en-GB" w:bidi="ar-SA"/>
        </w:rPr>
        <w:t xml:space="preserve"> and Sammartino</w:t>
      </w:r>
      <w:r w:rsidR="00935EB8">
        <w:rPr>
          <w:rFonts w:cs="Times New Roman"/>
          <w:szCs w:val="24"/>
          <w:lang w:val="en-GB" w:eastAsia="en-GB" w:bidi="ar-SA"/>
        </w:rPr>
        <w:t>, A</w:t>
      </w:r>
      <w:r w:rsidRPr="00DB6EA7">
        <w:rPr>
          <w:rFonts w:cs="Times New Roman"/>
          <w:szCs w:val="24"/>
          <w:lang w:val="en-GB" w:eastAsia="en-GB" w:bidi="ar-SA"/>
        </w:rPr>
        <w:t xml:space="preserve">. </w:t>
      </w:r>
      <w:r w:rsidR="00935EB8">
        <w:rPr>
          <w:rFonts w:cs="Times New Roman"/>
          <w:szCs w:val="24"/>
          <w:lang w:val="en-GB" w:eastAsia="en-GB" w:bidi="ar-SA"/>
        </w:rPr>
        <w:t>2013, ‘</w:t>
      </w:r>
      <w:r w:rsidRPr="00DB6EA7">
        <w:rPr>
          <w:rFonts w:cs="Times New Roman"/>
          <w:szCs w:val="24"/>
          <w:lang w:val="en-GB" w:eastAsia="en-GB" w:bidi="ar-SA"/>
        </w:rPr>
        <w:t xml:space="preserve">Work and </w:t>
      </w:r>
      <w:r w:rsidR="00935EB8">
        <w:rPr>
          <w:rFonts w:cs="Times New Roman"/>
          <w:szCs w:val="24"/>
          <w:lang w:val="en-GB" w:eastAsia="en-GB" w:bidi="ar-SA"/>
        </w:rPr>
        <w:t>w</w:t>
      </w:r>
      <w:r w:rsidRPr="00DB6EA7">
        <w:rPr>
          <w:rFonts w:cs="Times New Roman"/>
          <w:szCs w:val="24"/>
          <w:lang w:val="en-GB" w:eastAsia="en-GB" w:bidi="ar-SA"/>
        </w:rPr>
        <w:t xml:space="preserve">ages at a Melbourne </w:t>
      </w:r>
      <w:r w:rsidR="00935EB8">
        <w:rPr>
          <w:rFonts w:cs="Times New Roman"/>
          <w:szCs w:val="24"/>
          <w:lang w:val="en-GB" w:eastAsia="en-GB" w:bidi="ar-SA"/>
        </w:rPr>
        <w:t>f</w:t>
      </w:r>
      <w:r w:rsidRPr="00DB6EA7">
        <w:rPr>
          <w:rFonts w:cs="Times New Roman"/>
          <w:szCs w:val="24"/>
          <w:lang w:val="en-GB" w:eastAsia="en-GB" w:bidi="ar-SA"/>
        </w:rPr>
        <w:t>actory, the Guest Biscuit Works 1870–1921</w:t>
      </w:r>
      <w:r w:rsidR="00935EB8">
        <w:rPr>
          <w:rFonts w:cs="Times New Roman"/>
          <w:szCs w:val="24"/>
          <w:lang w:val="en-GB" w:eastAsia="en-GB" w:bidi="ar-SA"/>
        </w:rPr>
        <w:t>’</w:t>
      </w:r>
      <w:r w:rsidR="00B53231">
        <w:rPr>
          <w:rFonts w:cs="Times New Roman"/>
          <w:szCs w:val="24"/>
          <w:lang w:val="en-GB" w:eastAsia="en-GB" w:bidi="ar-SA"/>
        </w:rPr>
        <w:t>,</w:t>
      </w:r>
      <w:r w:rsidRPr="00DB6EA7">
        <w:rPr>
          <w:rFonts w:cs="Times New Roman"/>
          <w:szCs w:val="24"/>
          <w:lang w:val="en-GB" w:eastAsia="en-GB" w:bidi="ar-SA"/>
        </w:rPr>
        <w:t xml:space="preserve"> </w:t>
      </w:r>
      <w:r w:rsidRPr="00DB6EA7">
        <w:rPr>
          <w:rFonts w:cs="Times New Roman"/>
          <w:i/>
          <w:iCs/>
          <w:szCs w:val="24"/>
          <w:lang w:val="en-GB" w:eastAsia="en-GB" w:bidi="ar-SA"/>
        </w:rPr>
        <w:t>Australian Economic History Review</w:t>
      </w:r>
      <w:r w:rsidR="00935EB8">
        <w:rPr>
          <w:rFonts w:cs="Times New Roman"/>
          <w:szCs w:val="24"/>
          <w:lang w:val="en-GB" w:eastAsia="en-GB" w:bidi="ar-SA"/>
        </w:rPr>
        <w:t xml:space="preserve">, vol. </w:t>
      </w:r>
      <w:r w:rsidRPr="00DB6EA7">
        <w:rPr>
          <w:rFonts w:cs="Times New Roman"/>
          <w:szCs w:val="24"/>
          <w:lang w:val="en-GB" w:eastAsia="en-GB" w:bidi="ar-SA"/>
        </w:rPr>
        <w:t>53</w:t>
      </w:r>
      <w:r w:rsidR="00935EB8">
        <w:rPr>
          <w:rFonts w:cs="Times New Roman"/>
          <w:szCs w:val="24"/>
          <w:lang w:val="en-GB" w:eastAsia="en-GB" w:bidi="ar-SA"/>
        </w:rPr>
        <w:t>, pp.</w:t>
      </w:r>
      <w:r w:rsidRPr="00DB6EA7">
        <w:rPr>
          <w:rFonts w:cs="Times New Roman"/>
          <w:szCs w:val="24"/>
          <w:lang w:val="en-GB" w:eastAsia="en-GB" w:bidi="ar-SA"/>
        </w:rPr>
        <w:t xml:space="preserve"> 22-46.</w:t>
      </w:r>
      <w:proofErr w:type="gramEnd"/>
    </w:p>
    <w:p w:rsidR="001B329E" w:rsidRDefault="001B329E" w:rsidP="00812F06">
      <w:pPr>
        <w:spacing w:line="276" w:lineRule="auto"/>
        <w:rPr>
          <w:rFonts w:cs="Times New Roman"/>
          <w:szCs w:val="24"/>
          <w:lang w:val="en-GB" w:eastAsia="en-GB" w:bidi="ar-SA"/>
        </w:rPr>
      </w:pPr>
    </w:p>
    <w:p w:rsidR="001B329E" w:rsidRPr="00DB6EA7" w:rsidRDefault="001B329E" w:rsidP="00812F06">
      <w:pPr>
        <w:spacing w:line="276" w:lineRule="auto"/>
        <w:rPr>
          <w:rFonts w:cs="Times New Roman"/>
          <w:szCs w:val="24"/>
          <w:lang w:val="en-GB" w:eastAsia="en-GB" w:bidi="ar-SA"/>
        </w:rPr>
      </w:pPr>
      <w:r w:rsidRPr="001B329E">
        <w:rPr>
          <w:rFonts w:cs="Times New Roman"/>
          <w:szCs w:val="24"/>
          <w:lang w:val="en-GB" w:eastAsia="en-GB" w:bidi="ar-SA"/>
        </w:rPr>
        <w:t>Foote,</w:t>
      </w:r>
      <w:r w:rsidR="00A24926">
        <w:rPr>
          <w:rFonts w:cs="Times New Roman"/>
          <w:szCs w:val="24"/>
          <w:lang w:val="en-GB" w:eastAsia="en-GB" w:bidi="ar-SA"/>
        </w:rPr>
        <w:t xml:space="preserve"> C., </w:t>
      </w:r>
      <w:r w:rsidRPr="001B329E">
        <w:rPr>
          <w:rFonts w:cs="Times New Roman"/>
          <w:szCs w:val="24"/>
          <w:lang w:val="en-GB" w:eastAsia="en-GB" w:bidi="ar-SA"/>
        </w:rPr>
        <w:t>Whatley</w:t>
      </w:r>
      <w:r w:rsidR="00A24926">
        <w:rPr>
          <w:rFonts w:cs="Times New Roman"/>
          <w:szCs w:val="24"/>
          <w:lang w:val="en-GB" w:eastAsia="en-GB" w:bidi="ar-SA"/>
        </w:rPr>
        <w:t xml:space="preserve">, W. </w:t>
      </w:r>
      <w:proofErr w:type="spellStart"/>
      <w:r w:rsidR="00A24926">
        <w:rPr>
          <w:rFonts w:cs="Times New Roman"/>
          <w:szCs w:val="24"/>
          <w:lang w:val="en-GB" w:eastAsia="en-GB" w:bidi="ar-SA"/>
        </w:rPr>
        <w:t>and</w:t>
      </w:r>
      <w:r w:rsidRPr="001B329E">
        <w:rPr>
          <w:rFonts w:cs="Times New Roman"/>
          <w:szCs w:val="24"/>
          <w:lang w:val="en-GB" w:eastAsia="en-GB" w:bidi="ar-SA"/>
        </w:rPr>
        <w:t>Wright</w:t>
      </w:r>
      <w:proofErr w:type="spellEnd"/>
      <w:r w:rsidR="00A24926">
        <w:rPr>
          <w:rFonts w:cs="Times New Roman"/>
          <w:szCs w:val="24"/>
          <w:lang w:val="en-GB" w:eastAsia="en-GB" w:bidi="ar-SA"/>
        </w:rPr>
        <w:t>, G.</w:t>
      </w:r>
      <w:r w:rsidRPr="001B329E">
        <w:rPr>
          <w:rFonts w:cs="Times New Roman"/>
          <w:szCs w:val="24"/>
          <w:lang w:val="en-GB" w:eastAsia="en-GB" w:bidi="ar-SA"/>
        </w:rPr>
        <w:t xml:space="preserve"> 2003, </w:t>
      </w:r>
      <w:r w:rsidR="00A24926">
        <w:rPr>
          <w:rFonts w:cs="Times New Roman"/>
          <w:szCs w:val="24"/>
          <w:lang w:val="en-GB" w:eastAsia="en-GB" w:bidi="ar-SA"/>
        </w:rPr>
        <w:t>‘</w:t>
      </w:r>
      <w:r w:rsidRPr="001B329E">
        <w:rPr>
          <w:rFonts w:cs="Times New Roman"/>
          <w:szCs w:val="24"/>
          <w:lang w:val="en-GB" w:eastAsia="en-GB" w:bidi="ar-SA"/>
        </w:rPr>
        <w:t xml:space="preserve">Arbitraging a </w:t>
      </w:r>
      <w:r w:rsidR="00A24926">
        <w:rPr>
          <w:rFonts w:cs="Times New Roman"/>
          <w:szCs w:val="24"/>
          <w:lang w:val="en-GB" w:eastAsia="en-GB" w:bidi="ar-SA"/>
        </w:rPr>
        <w:t xml:space="preserve">discriminatory </w:t>
      </w:r>
      <w:proofErr w:type="spellStart"/>
      <w:r w:rsidR="00A24926">
        <w:rPr>
          <w:rFonts w:cs="Times New Roman"/>
          <w:szCs w:val="24"/>
          <w:lang w:val="en-GB" w:eastAsia="en-GB" w:bidi="ar-SA"/>
        </w:rPr>
        <w:t>labor</w:t>
      </w:r>
      <w:proofErr w:type="spellEnd"/>
      <w:r w:rsidR="00A24926">
        <w:rPr>
          <w:rFonts w:cs="Times New Roman"/>
          <w:szCs w:val="24"/>
          <w:lang w:val="en-GB" w:eastAsia="en-GB" w:bidi="ar-SA"/>
        </w:rPr>
        <w:t xml:space="preserve"> market: Black w</w:t>
      </w:r>
      <w:r w:rsidRPr="001B329E">
        <w:rPr>
          <w:rFonts w:cs="Times New Roman"/>
          <w:szCs w:val="24"/>
          <w:lang w:val="en-GB" w:eastAsia="en-GB" w:bidi="ar-SA"/>
        </w:rPr>
        <w:t>orkers and the Ford Motor Company, 1918-1947</w:t>
      </w:r>
      <w:r w:rsidR="00CD4494">
        <w:rPr>
          <w:rFonts w:cs="Times New Roman"/>
          <w:szCs w:val="24"/>
          <w:lang w:val="en-GB" w:eastAsia="en-GB" w:bidi="ar-SA"/>
        </w:rPr>
        <w:t>’</w:t>
      </w:r>
      <w:r w:rsidR="00A24926">
        <w:rPr>
          <w:rFonts w:cs="Times New Roman"/>
          <w:szCs w:val="24"/>
          <w:lang w:val="en-GB" w:eastAsia="en-GB" w:bidi="ar-SA"/>
        </w:rPr>
        <w:t xml:space="preserve">, </w:t>
      </w:r>
      <w:r w:rsidR="00C026DB" w:rsidRPr="00C026DB">
        <w:rPr>
          <w:rFonts w:cs="Times New Roman"/>
          <w:i/>
          <w:szCs w:val="24"/>
          <w:lang w:val="en-GB" w:eastAsia="en-GB" w:bidi="ar-SA"/>
        </w:rPr>
        <w:t xml:space="preserve">Journal of </w:t>
      </w:r>
      <w:proofErr w:type="spellStart"/>
      <w:r w:rsidR="00C026DB" w:rsidRPr="00C026DB">
        <w:rPr>
          <w:rFonts w:cs="Times New Roman"/>
          <w:i/>
          <w:szCs w:val="24"/>
          <w:lang w:val="en-GB" w:eastAsia="en-GB" w:bidi="ar-SA"/>
        </w:rPr>
        <w:t>Labor</w:t>
      </w:r>
      <w:proofErr w:type="spellEnd"/>
      <w:r w:rsidR="00C026DB" w:rsidRPr="00C026DB">
        <w:rPr>
          <w:rFonts w:cs="Times New Roman"/>
          <w:i/>
          <w:szCs w:val="24"/>
          <w:lang w:val="en-GB" w:eastAsia="en-GB" w:bidi="ar-SA"/>
        </w:rPr>
        <w:t xml:space="preserve"> Economics</w:t>
      </w:r>
      <w:r w:rsidR="00A24926">
        <w:rPr>
          <w:rFonts w:cs="Times New Roman"/>
          <w:szCs w:val="24"/>
          <w:lang w:val="en-GB" w:eastAsia="en-GB" w:bidi="ar-SA"/>
        </w:rPr>
        <w:t>, v</w:t>
      </w:r>
      <w:r w:rsidRPr="001B329E">
        <w:rPr>
          <w:rFonts w:cs="Times New Roman"/>
          <w:szCs w:val="24"/>
          <w:lang w:val="en-GB" w:eastAsia="en-GB" w:bidi="ar-SA"/>
        </w:rPr>
        <w:t xml:space="preserve">ol. 21, </w:t>
      </w:r>
      <w:r w:rsidR="00A24926">
        <w:rPr>
          <w:rFonts w:cs="Times New Roman"/>
          <w:szCs w:val="24"/>
          <w:lang w:val="en-GB" w:eastAsia="en-GB" w:bidi="ar-SA"/>
        </w:rPr>
        <w:t xml:space="preserve">pp. </w:t>
      </w:r>
      <w:r w:rsidRPr="001B329E">
        <w:rPr>
          <w:rFonts w:cs="Times New Roman"/>
          <w:szCs w:val="24"/>
          <w:lang w:val="en-GB" w:eastAsia="en-GB" w:bidi="ar-SA"/>
        </w:rPr>
        <w:t>493-532</w:t>
      </w:r>
      <w:r>
        <w:rPr>
          <w:rFonts w:cs="Times New Roman"/>
          <w:szCs w:val="24"/>
          <w:lang w:val="en-GB" w:eastAsia="en-GB" w:bidi="ar-SA"/>
        </w:rPr>
        <w:t>.</w:t>
      </w:r>
    </w:p>
    <w:p w:rsidR="00812F06" w:rsidRDefault="00812F06" w:rsidP="00812F06">
      <w:pPr>
        <w:spacing w:line="276" w:lineRule="auto"/>
        <w:rPr>
          <w:rFonts w:cs="Times New Roman"/>
          <w:szCs w:val="24"/>
          <w:lang w:val="en-GB" w:eastAsia="en-GB" w:bidi="ar-SA"/>
        </w:rPr>
      </w:pPr>
    </w:p>
    <w:p w:rsidR="00812F06" w:rsidRDefault="00812F06" w:rsidP="00812F06">
      <w:pPr>
        <w:spacing w:line="276" w:lineRule="auto"/>
        <w:rPr>
          <w:rFonts w:cs="Times New Roman"/>
          <w:szCs w:val="24"/>
          <w:lang w:val="en-GB" w:eastAsia="en-GB" w:bidi="ar-SA"/>
        </w:rPr>
      </w:pPr>
      <w:r w:rsidRPr="00DB6EA7">
        <w:rPr>
          <w:rFonts w:cs="Times New Roman"/>
          <w:szCs w:val="24"/>
          <w:lang w:val="en-GB" w:eastAsia="en-GB" w:bidi="ar-SA"/>
        </w:rPr>
        <w:t>Gibbs, M</w:t>
      </w:r>
      <w:r w:rsidR="00935EB8">
        <w:rPr>
          <w:rFonts w:cs="Times New Roman"/>
          <w:szCs w:val="24"/>
          <w:lang w:val="en-GB" w:eastAsia="en-GB" w:bidi="ar-SA"/>
        </w:rPr>
        <w:t>.</w:t>
      </w:r>
      <w:r w:rsidRPr="00DB6EA7">
        <w:rPr>
          <w:rFonts w:cs="Times New Roman"/>
          <w:szCs w:val="24"/>
          <w:lang w:val="en-GB" w:eastAsia="en-GB" w:bidi="ar-SA"/>
        </w:rPr>
        <w:t xml:space="preserve"> and Hendricks</w:t>
      </w:r>
      <w:r w:rsidR="00935EB8">
        <w:rPr>
          <w:rFonts w:cs="Times New Roman"/>
          <w:szCs w:val="24"/>
          <w:lang w:val="en-GB" w:eastAsia="en-GB" w:bidi="ar-SA"/>
        </w:rPr>
        <w:t>, W</w:t>
      </w:r>
      <w:r w:rsidRPr="00DB6EA7">
        <w:rPr>
          <w:rFonts w:cs="Times New Roman"/>
          <w:szCs w:val="24"/>
          <w:lang w:val="en-GB" w:eastAsia="en-GB" w:bidi="ar-SA"/>
        </w:rPr>
        <w:t xml:space="preserve">. </w:t>
      </w:r>
      <w:r w:rsidR="00935EB8">
        <w:rPr>
          <w:rFonts w:cs="Times New Roman"/>
          <w:szCs w:val="24"/>
          <w:lang w:val="en-GB" w:eastAsia="en-GB" w:bidi="ar-SA"/>
        </w:rPr>
        <w:t>2004, ‘</w:t>
      </w:r>
      <w:r w:rsidRPr="00DB6EA7">
        <w:rPr>
          <w:rFonts w:cs="Times New Roman"/>
          <w:szCs w:val="24"/>
          <w:lang w:val="en-GB" w:eastAsia="en-GB" w:bidi="ar-SA"/>
        </w:rPr>
        <w:t>Do formal salary systems really matter</w:t>
      </w:r>
      <w:r w:rsidR="00935EB8">
        <w:rPr>
          <w:rFonts w:cs="Times New Roman"/>
          <w:szCs w:val="24"/>
          <w:lang w:val="en-GB" w:eastAsia="en-GB" w:bidi="ar-SA"/>
        </w:rPr>
        <w:t>?</w:t>
      </w:r>
      <w:proofErr w:type="gramStart"/>
      <w:r w:rsidR="00935EB8">
        <w:rPr>
          <w:rFonts w:cs="Times New Roman"/>
          <w:szCs w:val="24"/>
          <w:lang w:val="en-GB" w:eastAsia="en-GB" w:bidi="ar-SA"/>
        </w:rPr>
        <w:t>’</w:t>
      </w:r>
      <w:r w:rsidR="00B53231">
        <w:rPr>
          <w:rFonts w:cs="Times New Roman"/>
          <w:szCs w:val="24"/>
          <w:lang w:val="en-GB" w:eastAsia="en-GB" w:bidi="ar-SA"/>
        </w:rPr>
        <w:t>,</w:t>
      </w:r>
      <w:proofErr w:type="gramEnd"/>
      <w:r w:rsidRPr="00DB6EA7">
        <w:rPr>
          <w:rFonts w:cs="Times New Roman"/>
          <w:szCs w:val="24"/>
          <w:lang w:val="en-GB" w:eastAsia="en-GB" w:bidi="ar-SA"/>
        </w:rPr>
        <w:t xml:space="preserve"> </w:t>
      </w:r>
      <w:r w:rsidRPr="00DB6EA7">
        <w:rPr>
          <w:rFonts w:cs="Times New Roman"/>
          <w:i/>
          <w:iCs/>
          <w:szCs w:val="24"/>
          <w:lang w:val="en-GB" w:eastAsia="en-GB" w:bidi="ar-SA"/>
        </w:rPr>
        <w:t>Indus</w:t>
      </w:r>
      <w:r w:rsidR="00935EB8">
        <w:rPr>
          <w:rFonts w:cs="Times New Roman"/>
          <w:i/>
          <w:iCs/>
          <w:szCs w:val="24"/>
          <w:lang w:val="en-GB" w:eastAsia="en-GB" w:bidi="ar-SA"/>
        </w:rPr>
        <w:t>trial</w:t>
      </w:r>
      <w:r w:rsidRPr="00DB6EA7">
        <w:rPr>
          <w:rFonts w:cs="Times New Roman"/>
          <w:i/>
          <w:iCs/>
          <w:szCs w:val="24"/>
          <w:lang w:val="en-GB" w:eastAsia="en-GB" w:bidi="ar-SA"/>
        </w:rPr>
        <w:t xml:space="preserve"> </w:t>
      </w:r>
      <w:r w:rsidR="00935EB8">
        <w:rPr>
          <w:rFonts w:cs="Times New Roman"/>
          <w:i/>
          <w:iCs/>
          <w:szCs w:val="24"/>
          <w:lang w:val="en-GB" w:eastAsia="en-GB" w:bidi="ar-SA"/>
        </w:rPr>
        <w:t>and</w:t>
      </w:r>
      <w:r w:rsidRPr="00DB6EA7">
        <w:rPr>
          <w:rFonts w:cs="Times New Roman"/>
          <w:i/>
          <w:iCs/>
          <w:szCs w:val="24"/>
          <w:lang w:val="en-GB" w:eastAsia="en-GB" w:bidi="ar-SA"/>
        </w:rPr>
        <w:t xml:space="preserve"> </w:t>
      </w:r>
      <w:proofErr w:type="spellStart"/>
      <w:r w:rsidRPr="00DB6EA7">
        <w:rPr>
          <w:rFonts w:cs="Times New Roman"/>
          <w:i/>
          <w:iCs/>
          <w:szCs w:val="24"/>
          <w:lang w:val="en-GB" w:eastAsia="en-GB" w:bidi="ar-SA"/>
        </w:rPr>
        <w:t>Lab</w:t>
      </w:r>
      <w:r w:rsidR="00935EB8">
        <w:rPr>
          <w:rFonts w:cs="Times New Roman"/>
          <w:i/>
          <w:iCs/>
          <w:szCs w:val="24"/>
          <w:lang w:val="en-GB" w:eastAsia="en-GB" w:bidi="ar-SA"/>
        </w:rPr>
        <w:t>or</w:t>
      </w:r>
      <w:proofErr w:type="spellEnd"/>
      <w:r w:rsidRPr="00DB6EA7">
        <w:rPr>
          <w:rFonts w:cs="Times New Roman"/>
          <w:i/>
          <w:iCs/>
          <w:szCs w:val="24"/>
          <w:lang w:val="en-GB" w:eastAsia="en-GB" w:bidi="ar-SA"/>
        </w:rPr>
        <w:t xml:space="preserve"> Rel</w:t>
      </w:r>
      <w:r w:rsidR="00935EB8">
        <w:rPr>
          <w:rFonts w:cs="Times New Roman"/>
          <w:i/>
          <w:iCs/>
          <w:szCs w:val="24"/>
          <w:lang w:val="en-GB" w:eastAsia="en-GB" w:bidi="ar-SA"/>
        </w:rPr>
        <w:t>ations</w:t>
      </w:r>
      <w:r w:rsidRPr="00DB6EA7">
        <w:rPr>
          <w:rFonts w:cs="Times New Roman"/>
          <w:i/>
          <w:iCs/>
          <w:szCs w:val="24"/>
          <w:lang w:val="en-GB" w:eastAsia="en-GB" w:bidi="ar-SA"/>
        </w:rPr>
        <w:t xml:space="preserve"> Rev</w:t>
      </w:r>
      <w:r w:rsidR="00935EB8">
        <w:rPr>
          <w:rFonts w:cs="Times New Roman"/>
          <w:i/>
          <w:iCs/>
          <w:szCs w:val="24"/>
          <w:lang w:val="en-GB" w:eastAsia="en-GB" w:bidi="ar-SA"/>
        </w:rPr>
        <w:t>iew</w:t>
      </w:r>
      <w:r w:rsidR="00935EB8">
        <w:rPr>
          <w:rFonts w:cs="Times New Roman"/>
          <w:szCs w:val="24"/>
          <w:lang w:val="en-GB" w:eastAsia="en-GB" w:bidi="ar-SA"/>
        </w:rPr>
        <w:t xml:space="preserve">, vol. </w:t>
      </w:r>
      <w:r w:rsidRPr="00DB6EA7">
        <w:rPr>
          <w:rFonts w:cs="Times New Roman"/>
          <w:szCs w:val="24"/>
          <w:lang w:val="en-GB" w:eastAsia="en-GB" w:bidi="ar-SA"/>
        </w:rPr>
        <w:t>58 (2004): 71</w:t>
      </w:r>
      <w:r w:rsidR="00935EB8">
        <w:rPr>
          <w:rFonts w:cs="Times New Roman"/>
          <w:szCs w:val="24"/>
          <w:lang w:val="en-GB" w:eastAsia="en-GB" w:bidi="ar-SA"/>
        </w:rPr>
        <w:t>-93</w:t>
      </w:r>
      <w:r w:rsidRPr="00DB6EA7">
        <w:rPr>
          <w:rFonts w:cs="Times New Roman"/>
          <w:szCs w:val="24"/>
          <w:lang w:val="en-GB" w:eastAsia="en-GB" w:bidi="ar-SA"/>
        </w:rPr>
        <w:t>.</w:t>
      </w:r>
    </w:p>
    <w:p w:rsidR="00812F06" w:rsidRDefault="00812F06" w:rsidP="00812F06">
      <w:pPr>
        <w:spacing w:line="276" w:lineRule="auto"/>
        <w:rPr>
          <w:rFonts w:cs="Times New Roman"/>
          <w:szCs w:val="24"/>
          <w:lang w:val="en-GB" w:eastAsia="en-GB" w:bidi="ar-SA"/>
        </w:rPr>
      </w:pPr>
    </w:p>
    <w:p w:rsidR="00812F06" w:rsidRDefault="00812F06" w:rsidP="00812F06">
      <w:pPr>
        <w:spacing w:line="276" w:lineRule="auto"/>
        <w:rPr>
          <w:rFonts w:cs="Times New Roman"/>
          <w:szCs w:val="24"/>
          <w:lang w:val="en-GB" w:eastAsia="en-GB" w:bidi="ar-SA"/>
        </w:rPr>
      </w:pPr>
      <w:proofErr w:type="spellStart"/>
      <w:r w:rsidRPr="00356048">
        <w:rPr>
          <w:rFonts w:cs="Times New Roman"/>
          <w:szCs w:val="24"/>
          <w:lang w:val="en-GB" w:eastAsia="en-GB" w:bidi="ar-SA"/>
        </w:rPr>
        <w:t>Goldin</w:t>
      </w:r>
      <w:proofErr w:type="spellEnd"/>
      <w:r w:rsidRPr="00356048">
        <w:rPr>
          <w:rFonts w:cs="Times New Roman"/>
          <w:szCs w:val="24"/>
          <w:lang w:val="en-GB" w:eastAsia="en-GB" w:bidi="ar-SA"/>
        </w:rPr>
        <w:t>, C</w:t>
      </w:r>
      <w:r w:rsidR="00271A5D">
        <w:rPr>
          <w:rFonts w:cs="Times New Roman"/>
          <w:szCs w:val="24"/>
          <w:lang w:val="en-GB" w:eastAsia="en-GB" w:bidi="ar-SA"/>
        </w:rPr>
        <w:t>. 199</w:t>
      </w:r>
      <w:r w:rsidR="00790718">
        <w:rPr>
          <w:rFonts w:cs="Times New Roman"/>
          <w:szCs w:val="24"/>
          <w:lang w:val="en-GB" w:eastAsia="en-GB" w:bidi="ar-SA"/>
        </w:rPr>
        <w:t>0</w:t>
      </w:r>
      <w:r w:rsidR="00271A5D">
        <w:rPr>
          <w:rFonts w:cs="Times New Roman"/>
          <w:szCs w:val="24"/>
          <w:lang w:val="en-GB" w:eastAsia="en-GB" w:bidi="ar-SA"/>
        </w:rPr>
        <w:t xml:space="preserve">, </w:t>
      </w:r>
      <w:r w:rsidR="00C8448E" w:rsidRPr="00C8448E">
        <w:rPr>
          <w:rFonts w:cs="Times New Roman"/>
          <w:i/>
          <w:szCs w:val="24"/>
          <w:lang w:val="en-GB" w:eastAsia="en-GB" w:bidi="ar-SA"/>
        </w:rPr>
        <w:t>Understanding the gender gap: An economic history of American women</w:t>
      </w:r>
      <w:r w:rsidR="00271A5D">
        <w:rPr>
          <w:rFonts w:cs="Times New Roman"/>
          <w:szCs w:val="24"/>
          <w:lang w:val="en-GB" w:eastAsia="en-GB" w:bidi="ar-SA"/>
        </w:rPr>
        <w:t>,</w:t>
      </w:r>
      <w:r w:rsidRPr="00356048">
        <w:rPr>
          <w:rFonts w:cs="Times New Roman"/>
          <w:szCs w:val="24"/>
          <w:lang w:val="en-GB" w:eastAsia="en-GB" w:bidi="ar-SA"/>
        </w:rPr>
        <w:t xml:space="preserve"> </w:t>
      </w:r>
      <w:r w:rsidR="00C8448E" w:rsidRPr="00C8448E">
        <w:rPr>
          <w:rFonts w:cs="Times New Roman"/>
          <w:iCs/>
          <w:szCs w:val="24"/>
          <w:lang w:val="en-GB" w:eastAsia="en-GB" w:bidi="ar-SA"/>
        </w:rPr>
        <w:t>Oxford University Press, New York.</w:t>
      </w:r>
    </w:p>
    <w:p w:rsidR="00812F06" w:rsidRDefault="00812F06" w:rsidP="00812F06">
      <w:pPr>
        <w:spacing w:line="276" w:lineRule="auto"/>
        <w:rPr>
          <w:rFonts w:cs="Times New Roman"/>
          <w:szCs w:val="24"/>
          <w:lang w:val="en-GB" w:eastAsia="en-GB" w:bidi="ar-SA"/>
        </w:rPr>
      </w:pPr>
    </w:p>
    <w:p w:rsidR="00812F06" w:rsidRPr="00356048" w:rsidRDefault="00812F06" w:rsidP="00812F06">
      <w:pPr>
        <w:spacing w:line="276" w:lineRule="auto"/>
        <w:rPr>
          <w:rFonts w:cs="Times New Roman"/>
          <w:szCs w:val="24"/>
          <w:lang w:val="en-GB" w:eastAsia="en-GB" w:bidi="ar-SA"/>
        </w:rPr>
      </w:pPr>
      <w:proofErr w:type="spellStart"/>
      <w:proofErr w:type="gramStart"/>
      <w:r>
        <w:rPr>
          <w:rFonts w:cs="Times New Roman"/>
          <w:szCs w:val="24"/>
          <w:lang w:val="en-GB" w:eastAsia="en-GB" w:bidi="ar-SA"/>
        </w:rPr>
        <w:t>Guiso</w:t>
      </w:r>
      <w:proofErr w:type="spellEnd"/>
      <w:r>
        <w:rPr>
          <w:rFonts w:cs="Times New Roman"/>
          <w:szCs w:val="24"/>
          <w:lang w:val="en-GB" w:eastAsia="en-GB" w:bidi="ar-SA"/>
        </w:rPr>
        <w:t>, L</w:t>
      </w:r>
      <w:r w:rsidR="0089744D">
        <w:rPr>
          <w:rFonts w:cs="Times New Roman"/>
          <w:szCs w:val="24"/>
          <w:lang w:val="en-GB" w:eastAsia="en-GB" w:bidi="ar-SA"/>
        </w:rPr>
        <w:t>.</w:t>
      </w:r>
      <w:r>
        <w:rPr>
          <w:rFonts w:cs="Times New Roman"/>
          <w:szCs w:val="24"/>
          <w:lang w:val="en-GB" w:eastAsia="en-GB" w:bidi="ar-SA"/>
        </w:rPr>
        <w:t xml:space="preserve">, </w:t>
      </w:r>
      <w:proofErr w:type="spellStart"/>
      <w:r>
        <w:rPr>
          <w:rFonts w:cs="Times New Roman"/>
          <w:szCs w:val="24"/>
          <w:lang w:val="en-GB" w:eastAsia="en-GB" w:bidi="ar-SA"/>
        </w:rPr>
        <w:t>Pistaferri</w:t>
      </w:r>
      <w:proofErr w:type="spellEnd"/>
      <w:r>
        <w:rPr>
          <w:rFonts w:cs="Times New Roman"/>
          <w:szCs w:val="24"/>
          <w:lang w:val="en-GB" w:eastAsia="en-GB" w:bidi="ar-SA"/>
        </w:rPr>
        <w:t xml:space="preserve">, </w:t>
      </w:r>
      <w:r w:rsidR="0089744D">
        <w:rPr>
          <w:rFonts w:cs="Times New Roman"/>
          <w:szCs w:val="24"/>
          <w:lang w:val="en-GB" w:eastAsia="en-GB" w:bidi="ar-SA"/>
        </w:rPr>
        <w:t xml:space="preserve">L. </w:t>
      </w:r>
      <w:r>
        <w:rPr>
          <w:rFonts w:cs="Times New Roman"/>
          <w:szCs w:val="24"/>
          <w:lang w:val="en-GB" w:eastAsia="en-GB" w:bidi="ar-SA"/>
        </w:rPr>
        <w:t xml:space="preserve">and </w:t>
      </w:r>
      <w:proofErr w:type="spellStart"/>
      <w:r>
        <w:rPr>
          <w:rFonts w:cs="Times New Roman"/>
          <w:szCs w:val="24"/>
          <w:lang w:val="en-GB" w:eastAsia="en-GB" w:bidi="ar-SA"/>
        </w:rPr>
        <w:t>Schivardi</w:t>
      </w:r>
      <w:proofErr w:type="spellEnd"/>
      <w:r w:rsidR="0089744D">
        <w:rPr>
          <w:rFonts w:cs="Times New Roman"/>
          <w:szCs w:val="24"/>
          <w:lang w:val="en-GB" w:eastAsia="en-GB" w:bidi="ar-SA"/>
        </w:rPr>
        <w:t>, F.</w:t>
      </w:r>
      <w:r>
        <w:rPr>
          <w:rFonts w:cs="Times New Roman"/>
          <w:szCs w:val="24"/>
          <w:lang w:val="en-GB" w:eastAsia="en-GB" w:bidi="ar-SA"/>
        </w:rPr>
        <w:t xml:space="preserve"> 2005, </w:t>
      </w:r>
      <w:r w:rsidR="0089744D">
        <w:rPr>
          <w:rFonts w:cs="Times New Roman"/>
          <w:szCs w:val="24"/>
          <w:lang w:val="en-GB" w:eastAsia="en-GB" w:bidi="ar-SA"/>
        </w:rPr>
        <w:t>‘</w:t>
      </w:r>
      <w:r>
        <w:rPr>
          <w:rFonts w:cs="Times New Roman"/>
          <w:szCs w:val="24"/>
          <w:lang w:val="en-GB" w:eastAsia="en-GB" w:bidi="ar-SA"/>
        </w:rPr>
        <w:t xml:space="preserve">Insurance within the </w:t>
      </w:r>
      <w:r w:rsidR="0089744D">
        <w:rPr>
          <w:rFonts w:cs="Times New Roman"/>
          <w:szCs w:val="24"/>
          <w:lang w:val="en-GB" w:eastAsia="en-GB" w:bidi="ar-SA"/>
        </w:rPr>
        <w:t>f</w:t>
      </w:r>
      <w:r>
        <w:rPr>
          <w:rFonts w:cs="Times New Roman"/>
          <w:szCs w:val="24"/>
          <w:lang w:val="en-GB" w:eastAsia="en-GB" w:bidi="ar-SA"/>
        </w:rPr>
        <w:t>irm</w:t>
      </w:r>
      <w:r w:rsidR="0089744D">
        <w:rPr>
          <w:rFonts w:cs="Times New Roman"/>
          <w:szCs w:val="24"/>
          <w:lang w:val="en-GB" w:eastAsia="en-GB" w:bidi="ar-SA"/>
        </w:rPr>
        <w:t>’</w:t>
      </w:r>
      <w:r w:rsidR="00C72CC3">
        <w:rPr>
          <w:rFonts w:cs="Times New Roman"/>
          <w:szCs w:val="24"/>
          <w:lang w:val="en-GB" w:eastAsia="en-GB" w:bidi="ar-SA"/>
        </w:rPr>
        <w:t>,</w:t>
      </w:r>
      <w:r>
        <w:rPr>
          <w:rFonts w:cs="Times New Roman"/>
          <w:szCs w:val="24"/>
          <w:lang w:val="en-GB" w:eastAsia="en-GB" w:bidi="ar-SA"/>
        </w:rPr>
        <w:t xml:space="preserve"> </w:t>
      </w:r>
      <w:r w:rsidRPr="003E034D">
        <w:rPr>
          <w:rFonts w:cs="Times New Roman"/>
          <w:i/>
          <w:szCs w:val="24"/>
          <w:lang w:val="en-GB" w:eastAsia="en-GB" w:bidi="ar-SA"/>
        </w:rPr>
        <w:t>Journal of Political Economy</w:t>
      </w:r>
      <w:r w:rsidR="0089744D">
        <w:rPr>
          <w:rFonts w:cs="Times New Roman"/>
          <w:szCs w:val="24"/>
          <w:lang w:val="en-GB" w:eastAsia="en-GB" w:bidi="ar-SA"/>
        </w:rPr>
        <w:t xml:space="preserve">, vol. </w:t>
      </w:r>
      <w:r>
        <w:rPr>
          <w:rFonts w:cs="Times New Roman"/>
          <w:szCs w:val="24"/>
          <w:lang w:val="en-GB" w:eastAsia="en-GB" w:bidi="ar-SA"/>
        </w:rPr>
        <w:t>113</w:t>
      </w:r>
      <w:r w:rsidR="0089744D">
        <w:rPr>
          <w:rFonts w:cs="Times New Roman"/>
          <w:szCs w:val="24"/>
          <w:lang w:val="en-GB" w:eastAsia="en-GB" w:bidi="ar-SA"/>
        </w:rPr>
        <w:t xml:space="preserve">, pp. </w:t>
      </w:r>
      <w:r>
        <w:rPr>
          <w:rFonts w:cs="Times New Roman"/>
          <w:szCs w:val="24"/>
          <w:lang w:val="en-GB" w:eastAsia="en-GB" w:bidi="ar-SA"/>
        </w:rPr>
        <w:t>1054-87.</w:t>
      </w:r>
      <w:proofErr w:type="gramEnd"/>
    </w:p>
    <w:p w:rsidR="00812F06" w:rsidRPr="000F2880" w:rsidRDefault="00812F06" w:rsidP="00812F06">
      <w:pPr>
        <w:spacing w:line="276" w:lineRule="auto"/>
        <w:rPr>
          <w:lang w:val="en-AU"/>
        </w:rPr>
      </w:pPr>
    </w:p>
    <w:p w:rsidR="00812F06" w:rsidRDefault="00812F06" w:rsidP="00812F06">
      <w:pPr>
        <w:spacing w:line="276" w:lineRule="auto"/>
        <w:rPr>
          <w:lang w:val="en-AU"/>
        </w:rPr>
      </w:pPr>
      <w:proofErr w:type="spellStart"/>
      <w:r w:rsidRPr="000F2880">
        <w:rPr>
          <w:lang w:val="en-AU"/>
        </w:rPr>
        <w:t>Howlett</w:t>
      </w:r>
      <w:proofErr w:type="spellEnd"/>
      <w:r w:rsidRPr="000F2880">
        <w:rPr>
          <w:lang w:val="en-AU"/>
        </w:rPr>
        <w:t>, P</w:t>
      </w:r>
      <w:r w:rsidR="00B4752A">
        <w:rPr>
          <w:lang w:val="en-AU"/>
        </w:rPr>
        <w:t>. 2004,</w:t>
      </w:r>
      <w:r w:rsidRPr="000F2880">
        <w:rPr>
          <w:lang w:val="en-AU"/>
        </w:rPr>
        <w:t xml:space="preserve"> </w:t>
      </w:r>
      <w:r w:rsidR="00B4752A">
        <w:rPr>
          <w:lang w:val="en-AU"/>
        </w:rPr>
        <w:t>‘</w:t>
      </w:r>
      <w:r w:rsidRPr="000F2880">
        <w:rPr>
          <w:lang w:val="en-AU"/>
        </w:rPr>
        <w:t>The internal labour dynamics of the Great Eastern Railway Company, 1870-1913</w:t>
      </w:r>
      <w:r w:rsidR="00B4752A">
        <w:rPr>
          <w:lang w:val="en-AU"/>
        </w:rPr>
        <w:t>’</w:t>
      </w:r>
      <w:r w:rsidR="00C72CC3">
        <w:rPr>
          <w:lang w:val="en-AU"/>
        </w:rPr>
        <w:t>,</w:t>
      </w:r>
      <w:r w:rsidRPr="000F2880">
        <w:rPr>
          <w:lang w:val="en-AU"/>
        </w:rPr>
        <w:t xml:space="preserve"> </w:t>
      </w:r>
      <w:r w:rsidRPr="000F2880">
        <w:rPr>
          <w:i/>
          <w:lang w:val="en-AU"/>
        </w:rPr>
        <w:t>Economic History Review</w:t>
      </w:r>
      <w:r w:rsidRPr="000F2880">
        <w:rPr>
          <w:lang w:val="en-AU"/>
        </w:rPr>
        <w:t xml:space="preserve">, </w:t>
      </w:r>
      <w:r w:rsidR="00B4752A">
        <w:rPr>
          <w:lang w:val="en-AU"/>
        </w:rPr>
        <w:t xml:space="preserve">vol. </w:t>
      </w:r>
      <w:r w:rsidRPr="000F2880">
        <w:rPr>
          <w:lang w:val="en-AU"/>
        </w:rPr>
        <w:t xml:space="preserve">57, </w:t>
      </w:r>
      <w:r w:rsidR="00C72CC3">
        <w:rPr>
          <w:lang w:val="en-AU"/>
        </w:rPr>
        <w:t>pp.</w:t>
      </w:r>
      <w:r w:rsidRPr="000F2880">
        <w:rPr>
          <w:lang w:val="en-AU"/>
        </w:rPr>
        <w:t xml:space="preserve"> 396-422.</w:t>
      </w:r>
    </w:p>
    <w:p w:rsidR="00812F06" w:rsidRDefault="00812F06" w:rsidP="00812F06">
      <w:pPr>
        <w:spacing w:line="276" w:lineRule="auto"/>
        <w:rPr>
          <w:lang w:val="en-AU"/>
        </w:rPr>
      </w:pPr>
    </w:p>
    <w:p w:rsidR="008B1F88" w:rsidRPr="008B1F88" w:rsidRDefault="008B1F88" w:rsidP="008B1F88">
      <w:pPr>
        <w:rPr>
          <w:rFonts w:cs="Times New Roman"/>
          <w:szCs w:val="24"/>
          <w:lang w:val="en-GB" w:eastAsia="en-GB" w:bidi="ar-SA"/>
        </w:rPr>
      </w:pPr>
      <w:proofErr w:type="spellStart"/>
      <w:r w:rsidRPr="008B1F88">
        <w:rPr>
          <w:rFonts w:cs="Times New Roman"/>
          <w:szCs w:val="24"/>
          <w:lang w:val="en-GB" w:eastAsia="en-GB" w:bidi="ar-SA"/>
        </w:rPr>
        <w:t>Iranzo</w:t>
      </w:r>
      <w:proofErr w:type="spellEnd"/>
      <w:r w:rsidRPr="008B1F88">
        <w:rPr>
          <w:rFonts w:cs="Times New Roman"/>
          <w:szCs w:val="24"/>
          <w:lang w:val="en-GB" w:eastAsia="en-GB" w:bidi="ar-SA"/>
        </w:rPr>
        <w:t>, S</w:t>
      </w:r>
      <w:r w:rsidR="006E73B1">
        <w:rPr>
          <w:rFonts w:cs="Times New Roman"/>
          <w:szCs w:val="24"/>
          <w:lang w:val="en-GB" w:eastAsia="en-GB" w:bidi="ar-SA"/>
        </w:rPr>
        <w:t>.,</w:t>
      </w:r>
      <w:r w:rsidRPr="008B1F88">
        <w:rPr>
          <w:rFonts w:cs="Times New Roman"/>
          <w:szCs w:val="24"/>
          <w:lang w:val="en-GB" w:eastAsia="en-GB" w:bidi="ar-SA"/>
        </w:rPr>
        <w:t xml:space="preserve"> </w:t>
      </w:r>
      <w:proofErr w:type="spellStart"/>
      <w:r w:rsidRPr="008B1F88">
        <w:rPr>
          <w:rFonts w:cs="Times New Roman"/>
          <w:szCs w:val="24"/>
          <w:lang w:val="en-GB" w:eastAsia="en-GB" w:bidi="ar-SA"/>
        </w:rPr>
        <w:t>Schivardi</w:t>
      </w:r>
      <w:proofErr w:type="spellEnd"/>
      <w:r w:rsidRPr="008B1F88">
        <w:rPr>
          <w:rFonts w:cs="Times New Roman"/>
          <w:szCs w:val="24"/>
          <w:lang w:val="en-GB" w:eastAsia="en-GB" w:bidi="ar-SA"/>
        </w:rPr>
        <w:t xml:space="preserve">, </w:t>
      </w:r>
      <w:r w:rsidR="006E73B1">
        <w:rPr>
          <w:rFonts w:cs="Times New Roman"/>
          <w:szCs w:val="24"/>
          <w:lang w:val="en-GB" w:eastAsia="en-GB" w:bidi="ar-SA"/>
        </w:rPr>
        <w:t xml:space="preserve">F. </w:t>
      </w:r>
      <w:r w:rsidRPr="008B1F88">
        <w:rPr>
          <w:rFonts w:cs="Times New Roman"/>
          <w:szCs w:val="24"/>
          <w:lang w:val="en-GB" w:eastAsia="en-GB" w:bidi="ar-SA"/>
        </w:rPr>
        <w:t xml:space="preserve">and </w:t>
      </w:r>
      <w:proofErr w:type="spellStart"/>
      <w:r w:rsidRPr="008B1F88">
        <w:rPr>
          <w:rFonts w:cs="Times New Roman"/>
          <w:szCs w:val="24"/>
          <w:lang w:val="en-GB" w:eastAsia="en-GB" w:bidi="ar-SA"/>
        </w:rPr>
        <w:t>Tosetti</w:t>
      </w:r>
      <w:proofErr w:type="spellEnd"/>
      <w:r w:rsidR="006E73B1">
        <w:rPr>
          <w:rFonts w:cs="Times New Roman"/>
          <w:szCs w:val="24"/>
          <w:lang w:val="en-GB" w:eastAsia="en-GB" w:bidi="ar-SA"/>
        </w:rPr>
        <w:t>, E.</w:t>
      </w:r>
      <w:r w:rsidRPr="008B1F88">
        <w:rPr>
          <w:rFonts w:cs="Times New Roman"/>
          <w:szCs w:val="24"/>
          <w:lang w:val="en-GB" w:eastAsia="en-GB" w:bidi="ar-SA"/>
        </w:rPr>
        <w:t xml:space="preserve"> </w:t>
      </w:r>
      <w:r w:rsidR="006E73B1">
        <w:rPr>
          <w:rFonts w:cs="Times New Roman"/>
          <w:szCs w:val="24"/>
          <w:lang w:val="en-GB" w:eastAsia="en-GB" w:bidi="ar-SA"/>
        </w:rPr>
        <w:t>2008, ‘</w:t>
      </w:r>
      <w:r w:rsidRPr="008B1F88">
        <w:rPr>
          <w:rFonts w:cs="Times New Roman"/>
          <w:szCs w:val="24"/>
          <w:lang w:val="en-GB" w:eastAsia="en-GB" w:bidi="ar-SA"/>
        </w:rPr>
        <w:t xml:space="preserve">Skill </w:t>
      </w:r>
      <w:r w:rsidR="006E73B1">
        <w:rPr>
          <w:rFonts w:cs="Times New Roman"/>
          <w:szCs w:val="24"/>
          <w:lang w:val="en-GB" w:eastAsia="en-GB" w:bidi="ar-SA"/>
        </w:rPr>
        <w:t>d</w:t>
      </w:r>
      <w:r w:rsidRPr="008B1F88">
        <w:rPr>
          <w:rFonts w:cs="Times New Roman"/>
          <w:szCs w:val="24"/>
          <w:lang w:val="en-GB" w:eastAsia="en-GB" w:bidi="ar-SA"/>
        </w:rPr>
        <w:t xml:space="preserve">ispersion and </w:t>
      </w:r>
      <w:r w:rsidR="006E73B1">
        <w:rPr>
          <w:rFonts w:cs="Times New Roman"/>
          <w:szCs w:val="24"/>
          <w:lang w:val="en-GB" w:eastAsia="en-GB" w:bidi="ar-SA"/>
        </w:rPr>
        <w:t>f</w:t>
      </w:r>
      <w:r w:rsidRPr="008B1F88">
        <w:rPr>
          <w:rFonts w:cs="Times New Roman"/>
          <w:szCs w:val="24"/>
          <w:lang w:val="en-GB" w:eastAsia="en-GB" w:bidi="ar-SA"/>
        </w:rPr>
        <w:t xml:space="preserve">irm </w:t>
      </w:r>
      <w:r w:rsidR="006E73B1">
        <w:rPr>
          <w:rFonts w:cs="Times New Roman"/>
          <w:szCs w:val="24"/>
          <w:lang w:val="en-GB" w:eastAsia="en-GB" w:bidi="ar-SA"/>
        </w:rPr>
        <w:t>p</w:t>
      </w:r>
      <w:r w:rsidRPr="008B1F88">
        <w:rPr>
          <w:rFonts w:cs="Times New Roman"/>
          <w:szCs w:val="24"/>
          <w:lang w:val="en-GB" w:eastAsia="en-GB" w:bidi="ar-SA"/>
        </w:rPr>
        <w:t xml:space="preserve">roductivity: An </w:t>
      </w:r>
      <w:r w:rsidR="006E73B1">
        <w:rPr>
          <w:rFonts w:cs="Times New Roman"/>
          <w:szCs w:val="24"/>
          <w:lang w:val="en-GB" w:eastAsia="en-GB" w:bidi="ar-SA"/>
        </w:rPr>
        <w:t>a</w:t>
      </w:r>
      <w:r w:rsidRPr="008B1F88">
        <w:rPr>
          <w:rFonts w:cs="Times New Roman"/>
          <w:szCs w:val="24"/>
          <w:lang w:val="en-GB" w:eastAsia="en-GB" w:bidi="ar-SA"/>
        </w:rPr>
        <w:t xml:space="preserve">nalysis with </w:t>
      </w:r>
      <w:r w:rsidR="006E73B1">
        <w:rPr>
          <w:rFonts w:cs="Times New Roman"/>
          <w:szCs w:val="24"/>
          <w:lang w:val="en-GB" w:eastAsia="en-GB" w:bidi="ar-SA"/>
        </w:rPr>
        <w:t>e</w:t>
      </w:r>
      <w:r w:rsidRPr="008B1F88">
        <w:rPr>
          <w:rFonts w:cs="Times New Roman"/>
          <w:szCs w:val="24"/>
          <w:lang w:val="en-GB" w:eastAsia="en-GB" w:bidi="ar-SA"/>
        </w:rPr>
        <w:t>mployer</w:t>
      </w:r>
      <w:r w:rsidRPr="008B1F88">
        <w:rPr>
          <w:rFonts w:ascii="Cambria Math" w:hAnsi="Cambria Math" w:cs="Cambria Math"/>
          <w:szCs w:val="24"/>
          <w:lang w:val="en-GB" w:eastAsia="en-GB" w:bidi="ar-SA"/>
        </w:rPr>
        <w:t>‐</w:t>
      </w:r>
      <w:r w:rsidR="006E73B1">
        <w:rPr>
          <w:rFonts w:cs="Times New Roman"/>
          <w:szCs w:val="24"/>
          <w:lang w:val="en-GB" w:eastAsia="en-GB" w:bidi="ar-SA"/>
        </w:rPr>
        <w:t>e</w:t>
      </w:r>
      <w:r w:rsidRPr="008B1F88">
        <w:rPr>
          <w:rFonts w:cs="Times New Roman"/>
          <w:szCs w:val="24"/>
          <w:lang w:val="en-GB" w:eastAsia="en-GB" w:bidi="ar-SA"/>
        </w:rPr>
        <w:t xml:space="preserve">mployee </w:t>
      </w:r>
      <w:r w:rsidR="006E73B1">
        <w:rPr>
          <w:rFonts w:cs="Times New Roman"/>
          <w:szCs w:val="24"/>
          <w:lang w:val="en-GB" w:eastAsia="en-GB" w:bidi="ar-SA"/>
        </w:rPr>
        <w:t>m</w:t>
      </w:r>
      <w:r w:rsidRPr="008B1F88">
        <w:rPr>
          <w:rFonts w:cs="Times New Roman"/>
          <w:szCs w:val="24"/>
          <w:lang w:val="en-GB" w:eastAsia="en-GB" w:bidi="ar-SA"/>
        </w:rPr>
        <w:t xml:space="preserve">atched </w:t>
      </w:r>
      <w:r w:rsidR="006E73B1">
        <w:rPr>
          <w:rFonts w:cs="Times New Roman"/>
          <w:szCs w:val="24"/>
          <w:lang w:val="en-GB" w:eastAsia="en-GB" w:bidi="ar-SA"/>
        </w:rPr>
        <w:t>d</w:t>
      </w:r>
      <w:r w:rsidRPr="008B1F88">
        <w:rPr>
          <w:rFonts w:cs="Times New Roman"/>
          <w:szCs w:val="24"/>
          <w:lang w:val="en-GB" w:eastAsia="en-GB" w:bidi="ar-SA"/>
        </w:rPr>
        <w:t>ata</w:t>
      </w:r>
      <w:r w:rsidR="006E73B1">
        <w:rPr>
          <w:rFonts w:cs="Times New Roman"/>
          <w:szCs w:val="24"/>
          <w:lang w:val="en-GB" w:eastAsia="en-GB" w:bidi="ar-SA"/>
        </w:rPr>
        <w:t>’</w:t>
      </w:r>
      <w:r w:rsidR="00C72CC3">
        <w:rPr>
          <w:rFonts w:cs="Times New Roman"/>
          <w:szCs w:val="24"/>
          <w:lang w:val="en-GB" w:eastAsia="en-GB" w:bidi="ar-SA"/>
        </w:rPr>
        <w:t>,</w:t>
      </w:r>
      <w:r w:rsidRPr="008B1F88">
        <w:rPr>
          <w:rFonts w:cs="Times New Roman"/>
          <w:szCs w:val="24"/>
          <w:lang w:val="en-GB" w:eastAsia="en-GB" w:bidi="ar-SA"/>
        </w:rPr>
        <w:t xml:space="preserve"> </w:t>
      </w:r>
      <w:r w:rsidRPr="008B1F88">
        <w:rPr>
          <w:rFonts w:cs="Times New Roman"/>
          <w:i/>
          <w:iCs/>
          <w:szCs w:val="24"/>
          <w:lang w:val="en-GB" w:eastAsia="en-GB" w:bidi="ar-SA"/>
        </w:rPr>
        <w:t xml:space="preserve">Journal of </w:t>
      </w:r>
      <w:proofErr w:type="spellStart"/>
      <w:r w:rsidRPr="008B1F88">
        <w:rPr>
          <w:rFonts w:cs="Times New Roman"/>
          <w:i/>
          <w:iCs/>
          <w:szCs w:val="24"/>
          <w:lang w:val="en-GB" w:eastAsia="en-GB" w:bidi="ar-SA"/>
        </w:rPr>
        <w:t>Labor</w:t>
      </w:r>
      <w:proofErr w:type="spellEnd"/>
      <w:r w:rsidRPr="008B1F88">
        <w:rPr>
          <w:rFonts w:cs="Times New Roman"/>
          <w:i/>
          <w:iCs/>
          <w:szCs w:val="24"/>
          <w:lang w:val="en-GB" w:eastAsia="en-GB" w:bidi="ar-SA"/>
        </w:rPr>
        <w:t xml:space="preserve"> Economics</w:t>
      </w:r>
      <w:r w:rsidR="006E73B1">
        <w:rPr>
          <w:rFonts w:cs="Times New Roman"/>
          <w:szCs w:val="24"/>
          <w:lang w:val="en-GB" w:eastAsia="en-GB" w:bidi="ar-SA"/>
        </w:rPr>
        <w:t xml:space="preserve">, vol. </w:t>
      </w:r>
      <w:r w:rsidRPr="008B1F88">
        <w:rPr>
          <w:rFonts w:cs="Times New Roman"/>
          <w:szCs w:val="24"/>
          <w:lang w:val="en-GB" w:eastAsia="en-GB" w:bidi="ar-SA"/>
        </w:rPr>
        <w:t>26</w:t>
      </w:r>
      <w:r w:rsidR="006E73B1">
        <w:rPr>
          <w:rFonts w:cs="Times New Roman"/>
          <w:szCs w:val="24"/>
          <w:lang w:val="en-GB" w:eastAsia="en-GB" w:bidi="ar-SA"/>
        </w:rPr>
        <w:t>, pp.</w:t>
      </w:r>
      <w:r w:rsidRPr="008B1F88">
        <w:rPr>
          <w:rFonts w:cs="Times New Roman"/>
          <w:szCs w:val="24"/>
          <w:lang w:val="en-GB" w:eastAsia="en-GB" w:bidi="ar-SA"/>
        </w:rPr>
        <w:t xml:space="preserve"> 247-85.</w:t>
      </w:r>
    </w:p>
    <w:p w:rsidR="008B1F88" w:rsidRPr="000F2880" w:rsidRDefault="008B1F88" w:rsidP="00812F06">
      <w:pPr>
        <w:spacing w:line="276" w:lineRule="auto"/>
        <w:rPr>
          <w:lang w:val="en-AU"/>
        </w:rPr>
      </w:pPr>
    </w:p>
    <w:p w:rsidR="00812F06" w:rsidRDefault="00812F06" w:rsidP="00812F06">
      <w:pPr>
        <w:spacing w:line="276" w:lineRule="auto"/>
        <w:rPr>
          <w:lang w:val="en-AU"/>
        </w:rPr>
      </w:pPr>
      <w:proofErr w:type="spellStart"/>
      <w:proofErr w:type="gramStart"/>
      <w:r w:rsidRPr="000F2880">
        <w:rPr>
          <w:lang w:val="en-AU"/>
        </w:rPr>
        <w:t>Lazear</w:t>
      </w:r>
      <w:proofErr w:type="spellEnd"/>
      <w:r w:rsidRPr="000F2880">
        <w:rPr>
          <w:lang w:val="en-AU"/>
        </w:rPr>
        <w:t>, E</w:t>
      </w:r>
      <w:r w:rsidR="006E73B1">
        <w:rPr>
          <w:lang w:val="en-AU"/>
        </w:rPr>
        <w:t>. 2000,</w:t>
      </w:r>
      <w:r w:rsidRPr="000F2880">
        <w:rPr>
          <w:lang w:val="en-AU"/>
        </w:rPr>
        <w:t xml:space="preserve"> </w:t>
      </w:r>
      <w:r w:rsidR="006E73B1">
        <w:rPr>
          <w:lang w:val="en-AU"/>
        </w:rPr>
        <w:t>‘</w:t>
      </w:r>
      <w:r w:rsidRPr="000F2880">
        <w:rPr>
          <w:lang w:val="en-AU"/>
        </w:rPr>
        <w:t xml:space="preserve">Performance </w:t>
      </w:r>
      <w:r w:rsidR="006E73B1">
        <w:rPr>
          <w:lang w:val="en-AU"/>
        </w:rPr>
        <w:t>p</w:t>
      </w:r>
      <w:r w:rsidRPr="000F2880">
        <w:rPr>
          <w:lang w:val="en-AU"/>
        </w:rPr>
        <w:t xml:space="preserve">ay and </w:t>
      </w:r>
      <w:r w:rsidR="006E73B1">
        <w:rPr>
          <w:lang w:val="en-AU"/>
        </w:rPr>
        <w:t>p</w:t>
      </w:r>
      <w:r w:rsidRPr="000F2880">
        <w:rPr>
          <w:lang w:val="en-AU"/>
        </w:rPr>
        <w:t>roductivity</w:t>
      </w:r>
      <w:r w:rsidR="006E73B1">
        <w:rPr>
          <w:lang w:val="en-AU"/>
        </w:rPr>
        <w:t>,’</w:t>
      </w:r>
      <w:r w:rsidRPr="000F2880">
        <w:rPr>
          <w:lang w:val="en-AU"/>
        </w:rPr>
        <w:t xml:space="preserve"> </w:t>
      </w:r>
      <w:r w:rsidRPr="000F2880">
        <w:rPr>
          <w:i/>
          <w:lang w:val="en-AU"/>
        </w:rPr>
        <w:t>American Economic Review</w:t>
      </w:r>
      <w:r w:rsidRPr="000F2880">
        <w:rPr>
          <w:lang w:val="en-AU"/>
        </w:rPr>
        <w:t xml:space="preserve">, </w:t>
      </w:r>
      <w:r w:rsidR="006E73B1">
        <w:rPr>
          <w:lang w:val="en-AU"/>
        </w:rPr>
        <w:t xml:space="preserve">vol. </w:t>
      </w:r>
      <w:r w:rsidRPr="000F2880">
        <w:rPr>
          <w:lang w:val="en-AU"/>
        </w:rPr>
        <w:t>90</w:t>
      </w:r>
      <w:r w:rsidR="006E73B1">
        <w:rPr>
          <w:lang w:val="en-AU"/>
        </w:rPr>
        <w:t xml:space="preserve">, pp. </w:t>
      </w:r>
      <w:r w:rsidRPr="000F2880">
        <w:rPr>
          <w:lang w:val="en-AU"/>
        </w:rPr>
        <w:t>1346-61.</w:t>
      </w:r>
      <w:proofErr w:type="gramEnd"/>
    </w:p>
    <w:p w:rsidR="00812F06" w:rsidRDefault="00812F06" w:rsidP="00812F06">
      <w:pPr>
        <w:spacing w:line="276" w:lineRule="auto"/>
        <w:rPr>
          <w:lang w:val="en-AU"/>
        </w:rPr>
      </w:pPr>
    </w:p>
    <w:p w:rsidR="00812F06" w:rsidRPr="000F2880" w:rsidRDefault="00812F06" w:rsidP="00812F06">
      <w:pPr>
        <w:spacing w:line="276" w:lineRule="auto"/>
        <w:rPr>
          <w:lang w:val="en-AU"/>
        </w:rPr>
      </w:pPr>
      <w:proofErr w:type="spellStart"/>
      <w:r>
        <w:rPr>
          <w:lang w:val="en-AU"/>
        </w:rPr>
        <w:t>Lazear</w:t>
      </w:r>
      <w:proofErr w:type="spellEnd"/>
      <w:r>
        <w:rPr>
          <w:lang w:val="en-AU"/>
        </w:rPr>
        <w:t>, E</w:t>
      </w:r>
      <w:r w:rsidR="00D10835">
        <w:rPr>
          <w:lang w:val="en-AU"/>
        </w:rPr>
        <w:t>.</w:t>
      </w:r>
      <w:r>
        <w:rPr>
          <w:lang w:val="en-AU"/>
        </w:rPr>
        <w:t xml:space="preserve"> and Shaw</w:t>
      </w:r>
      <w:r w:rsidR="00D10835">
        <w:rPr>
          <w:lang w:val="en-AU"/>
        </w:rPr>
        <w:t>, K</w:t>
      </w:r>
      <w:r>
        <w:rPr>
          <w:lang w:val="en-AU"/>
        </w:rPr>
        <w:t>. 2009</w:t>
      </w:r>
      <w:r w:rsidR="00D10835">
        <w:rPr>
          <w:lang w:val="en-AU"/>
        </w:rPr>
        <w:t>,</w:t>
      </w:r>
      <w:r>
        <w:rPr>
          <w:lang w:val="en-AU"/>
        </w:rPr>
        <w:t xml:space="preserve"> </w:t>
      </w:r>
      <w:proofErr w:type="gramStart"/>
      <w:r w:rsidRPr="00403A11">
        <w:rPr>
          <w:i/>
          <w:lang w:val="en-AU"/>
        </w:rPr>
        <w:t>The</w:t>
      </w:r>
      <w:proofErr w:type="gramEnd"/>
      <w:r w:rsidRPr="00403A11">
        <w:rPr>
          <w:i/>
          <w:lang w:val="en-AU"/>
        </w:rPr>
        <w:t xml:space="preserve"> Structure of </w:t>
      </w:r>
      <w:r w:rsidR="00D10835">
        <w:rPr>
          <w:i/>
          <w:lang w:val="en-AU"/>
        </w:rPr>
        <w:t>W</w:t>
      </w:r>
      <w:r w:rsidRPr="00403A11">
        <w:rPr>
          <w:i/>
          <w:lang w:val="en-AU"/>
        </w:rPr>
        <w:t>ages: An International Comparison</w:t>
      </w:r>
      <w:r>
        <w:rPr>
          <w:lang w:val="en-AU"/>
        </w:rPr>
        <w:t>, The University of Chicago Press</w:t>
      </w:r>
      <w:r w:rsidR="00D10835">
        <w:rPr>
          <w:lang w:val="en-AU"/>
        </w:rPr>
        <w:t>: Chicago.</w:t>
      </w:r>
    </w:p>
    <w:p w:rsidR="00812F06" w:rsidRPr="000F2880" w:rsidRDefault="00812F06" w:rsidP="00812F06">
      <w:pPr>
        <w:spacing w:line="276" w:lineRule="auto"/>
        <w:rPr>
          <w:lang w:val="en-AU"/>
        </w:rPr>
      </w:pPr>
    </w:p>
    <w:p w:rsidR="00812F06" w:rsidRPr="000F2880" w:rsidRDefault="00812F06" w:rsidP="00812F06">
      <w:pPr>
        <w:spacing w:line="276" w:lineRule="auto"/>
        <w:rPr>
          <w:lang w:val="en-AU"/>
        </w:rPr>
      </w:pPr>
      <w:r w:rsidRPr="000F2880">
        <w:rPr>
          <w:lang w:val="en-AU"/>
        </w:rPr>
        <w:t xml:space="preserve">MacKinnon, </w:t>
      </w:r>
      <w:r w:rsidR="00D10835">
        <w:rPr>
          <w:lang w:val="en-AU"/>
        </w:rPr>
        <w:t xml:space="preserve">M. </w:t>
      </w:r>
      <w:r w:rsidRPr="000F2880">
        <w:rPr>
          <w:lang w:val="en-AU"/>
        </w:rPr>
        <w:t xml:space="preserve">1996. </w:t>
      </w:r>
      <w:proofErr w:type="gramStart"/>
      <w:r w:rsidR="00D10835">
        <w:rPr>
          <w:lang w:val="en-AU"/>
        </w:rPr>
        <w:t>‘</w:t>
      </w:r>
      <w:r w:rsidRPr="000F2880">
        <w:rPr>
          <w:lang w:val="en-AU"/>
        </w:rPr>
        <w:t xml:space="preserve">New </w:t>
      </w:r>
      <w:r w:rsidR="00D10835">
        <w:rPr>
          <w:lang w:val="en-AU"/>
        </w:rPr>
        <w:t>e</w:t>
      </w:r>
      <w:r w:rsidRPr="000F2880">
        <w:rPr>
          <w:lang w:val="en-AU"/>
        </w:rPr>
        <w:t xml:space="preserve">vidence on Canadian </w:t>
      </w:r>
      <w:r w:rsidR="00D10835">
        <w:rPr>
          <w:lang w:val="en-AU"/>
        </w:rPr>
        <w:t>w</w:t>
      </w:r>
      <w:r w:rsidRPr="000F2880">
        <w:rPr>
          <w:lang w:val="en-AU"/>
        </w:rPr>
        <w:t xml:space="preserve">age </w:t>
      </w:r>
      <w:r w:rsidR="00D10835">
        <w:rPr>
          <w:lang w:val="en-AU"/>
        </w:rPr>
        <w:t>r</w:t>
      </w:r>
      <w:r w:rsidRPr="000F2880">
        <w:rPr>
          <w:lang w:val="en-AU"/>
        </w:rPr>
        <w:t>ates, 1900-1930</w:t>
      </w:r>
      <w:r w:rsidR="00D10835">
        <w:rPr>
          <w:lang w:val="en-AU"/>
        </w:rPr>
        <w:t>’</w:t>
      </w:r>
      <w:r w:rsidR="009D4D38">
        <w:rPr>
          <w:lang w:val="en-AU"/>
        </w:rPr>
        <w:t>,</w:t>
      </w:r>
      <w:r w:rsidRPr="000F2880">
        <w:rPr>
          <w:lang w:val="en-AU"/>
        </w:rPr>
        <w:t xml:space="preserve"> </w:t>
      </w:r>
      <w:r w:rsidR="00C8448E" w:rsidRPr="00C8448E">
        <w:rPr>
          <w:i/>
          <w:lang w:val="en-AU"/>
        </w:rPr>
        <w:t>Canadian Journal of Economics</w:t>
      </w:r>
      <w:r w:rsidRPr="000F2880">
        <w:rPr>
          <w:lang w:val="en-AU"/>
        </w:rPr>
        <w:t>, vol. 29, p</w:t>
      </w:r>
      <w:r w:rsidR="00D10835">
        <w:rPr>
          <w:lang w:val="en-AU"/>
        </w:rPr>
        <w:t>p.</w:t>
      </w:r>
      <w:r w:rsidRPr="000F2880">
        <w:rPr>
          <w:lang w:val="en-AU"/>
        </w:rPr>
        <w:t xml:space="preserve"> 114-31.</w:t>
      </w:r>
      <w:proofErr w:type="gramEnd"/>
    </w:p>
    <w:p w:rsidR="00812F06" w:rsidRDefault="00812F06" w:rsidP="00812F06">
      <w:pPr>
        <w:spacing w:line="276" w:lineRule="auto"/>
        <w:rPr>
          <w:lang w:val="en-AU"/>
        </w:rPr>
      </w:pPr>
    </w:p>
    <w:p w:rsidR="00CD4494" w:rsidRDefault="00CD4494" w:rsidP="00812F06">
      <w:pPr>
        <w:spacing w:line="276" w:lineRule="auto"/>
        <w:rPr>
          <w:lang w:val="en-AU"/>
        </w:rPr>
      </w:pPr>
      <w:r w:rsidRPr="00CD4494">
        <w:rPr>
          <w:lang w:val="en-AU"/>
        </w:rPr>
        <w:t>Maloney</w:t>
      </w:r>
      <w:r>
        <w:rPr>
          <w:lang w:val="en-AU"/>
        </w:rPr>
        <w:t xml:space="preserve">, </w:t>
      </w:r>
      <w:r w:rsidRPr="00CD4494">
        <w:rPr>
          <w:lang w:val="en-AU"/>
        </w:rPr>
        <w:t xml:space="preserve">T. </w:t>
      </w:r>
      <w:r>
        <w:rPr>
          <w:lang w:val="en-AU"/>
        </w:rPr>
        <w:t xml:space="preserve">and </w:t>
      </w:r>
      <w:r w:rsidRPr="00CD4494">
        <w:rPr>
          <w:lang w:val="en-AU"/>
        </w:rPr>
        <w:t>Whatley</w:t>
      </w:r>
      <w:r>
        <w:rPr>
          <w:lang w:val="en-AU"/>
        </w:rPr>
        <w:t>, W.</w:t>
      </w:r>
      <w:r w:rsidRPr="00CD4494">
        <w:rPr>
          <w:lang w:val="en-AU"/>
        </w:rPr>
        <w:t xml:space="preserve"> 1995</w:t>
      </w:r>
      <w:r>
        <w:rPr>
          <w:lang w:val="en-AU"/>
        </w:rPr>
        <w:t>, ‘</w:t>
      </w:r>
      <w:r w:rsidRPr="00CD4494">
        <w:rPr>
          <w:lang w:val="en-AU"/>
        </w:rPr>
        <w:t>Making the</w:t>
      </w:r>
      <w:r>
        <w:rPr>
          <w:lang w:val="en-AU"/>
        </w:rPr>
        <w:t xml:space="preserve"> effort: The contours of racial discrimination in Detroit's </w:t>
      </w:r>
      <w:proofErr w:type="spellStart"/>
      <w:r>
        <w:rPr>
          <w:lang w:val="en-AU"/>
        </w:rPr>
        <w:t>labor</w:t>
      </w:r>
      <w:proofErr w:type="spellEnd"/>
      <w:r>
        <w:rPr>
          <w:lang w:val="en-AU"/>
        </w:rPr>
        <w:t xml:space="preserve"> m</w:t>
      </w:r>
      <w:r w:rsidRPr="00CD4494">
        <w:rPr>
          <w:lang w:val="en-AU"/>
        </w:rPr>
        <w:t>arket, 1920-1940</w:t>
      </w:r>
      <w:r>
        <w:rPr>
          <w:lang w:val="en-AU"/>
        </w:rPr>
        <w:t>’</w:t>
      </w:r>
      <w:r w:rsidRPr="00CD4494">
        <w:rPr>
          <w:lang w:val="en-AU"/>
        </w:rPr>
        <w:t xml:space="preserve">, </w:t>
      </w:r>
      <w:r w:rsidR="00C026DB" w:rsidRPr="00C026DB">
        <w:rPr>
          <w:i/>
          <w:lang w:val="en-AU"/>
        </w:rPr>
        <w:t>Journal of Economic History</w:t>
      </w:r>
      <w:r>
        <w:rPr>
          <w:lang w:val="en-AU"/>
        </w:rPr>
        <w:t>, v</w:t>
      </w:r>
      <w:r w:rsidRPr="00CD4494">
        <w:rPr>
          <w:lang w:val="en-AU"/>
        </w:rPr>
        <w:t xml:space="preserve">ol. 55, </w:t>
      </w:r>
      <w:r>
        <w:rPr>
          <w:lang w:val="en-AU"/>
        </w:rPr>
        <w:t>pp.</w:t>
      </w:r>
      <w:r w:rsidRPr="00CD4494">
        <w:rPr>
          <w:lang w:val="en-AU"/>
        </w:rPr>
        <w:t xml:space="preserve"> 465-93.</w:t>
      </w:r>
    </w:p>
    <w:p w:rsidR="00CD4494" w:rsidRDefault="00CD4494" w:rsidP="00812F06">
      <w:pPr>
        <w:spacing w:line="276" w:lineRule="auto"/>
        <w:rPr>
          <w:lang w:val="en-AU"/>
        </w:rPr>
      </w:pPr>
    </w:p>
    <w:p w:rsidR="00812F06" w:rsidRDefault="00812F06" w:rsidP="00812F06">
      <w:pPr>
        <w:spacing w:line="276" w:lineRule="auto"/>
        <w:rPr>
          <w:rFonts w:cs="Times New Roman"/>
          <w:szCs w:val="24"/>
          <w:lang w:val="en-GB" w:eastAsia="en-GB" w:bidi="ar-SA"/>
        </w:rPr>
      </w:pPr>
      <w:proofErr w:type="spellStart"/>
      <w:proofErr w:type="gramStart"/>
      <w:r w:rsidRPr="00DB6EA7">
        <w:rPr>
          <w:rFonts w:cs="Times New Roman"/>
          <w:szCs w:val="24"/>
          <w:lang w:val="en-GB" w:eastAsia="en-GB" w:bidi="ar-SA"/>
        </w:rPr>
        <w:t>Medoff</w:t>
      </w:r>
      <w:proofErr w:type="spellEnd"/>
      <w:r w:rsidRPr="00DB6EA7">
        <w:rPr>
          <w:rFonts w:cs="Times New Roman"/>
          <w:szCs w:val="24"/>
          <w:lang w:val="en-GB" w:eastAsia="en-GB" w:bidi="ar-SA"/>
        </w:rPr>
        <w:t>, J</w:t>
      </w:r>
      <w:r w:rsidR="00E67EB9">
        <w:rPr>
          <w:rFonts w:cs="Times New Roman"/>
          <w:szCs w:val="24"/>
          <w:lang w:val="en-GB" w:eastAsia="en-GB" w:bidi="ar-SA"/>
        </w:rPr>
        <w:t>.</w:t>
      </w:r>
      <w:r w:rsidRPr="00DB6EA7">
        <w:rPr>
          <w:rFonts w:cs="Times New Roman"/>
          <w:szCs w:val="24"/>
          <w:lang w:val="en-GB" w:eastAsia="en-GB" w:bidi="ar-SA"/>
        </w:rPr>
        <w:t xml:space="preserve"> L. and Abraham</w:t>
      </w:r>
      <w:r w:rsidR="00E67EB9">
        <w:rPr>
          <w:rFonts w:cs="Times New Roman"/>
          <w:szCs w:val="24"/>
          <w:lang w:val="en-GB" w:eastAsia="en-GB" w:bidi="ar-SA"/>
        </w:rPr>
        <w:t>, K.</w:t>
      </w:r>
      <w:r w:rsidR="00E67EB9" w:rsidRPr="00DB6EA7">
        <w:rPr>
          <w:rFonts w:cs="Times New Roman"/>
          <w:szCs w:val="24"/>
          <w:lang w:val="en-GB" w:eastAsia="en-GB" w:bidi="ar-SA"/>
        </w:rPr>
        <w:t xml:space="preserve"> G</w:t>
      </w:r>
      <w:r w:rsidRPr="00DB6EA7">
        <w:rPr>
          <w:rFonts w:cs="Times New Roman"/>
          <w:szCs w:val="24"/>
          <w:lang w:val="en-GB" w:eastAsia="en-GB" w:bidi="ar-SA"/>
        </w:rPr>
        <w:t xml:space="preserve">. </w:t>
      </w:r>
      <w:r w:rsidR="00E67EB9">
        <w:rPr>
          <w:rFonts w:cs="Times New Roman"/>
          <w:szCs w:val="24"/>
          <w:lang w:val="en-GB" w:eastAsia="en-GB" w:bidi="ar-SA"/>
        </w:rPr>
        <w:t>1980, ‘</w:t>
      </w:r>
      <w:r w:rsidRPr="00DB6EA7">
        <w:rPr>
          <w:rFonts w:cs="Times New Roman"/>
          <w:szCs w:val="24"/>
          <w:lang w:val="en-GB" w:eastAsia="en-GB" w:bidi="ar-SA"/>
        </w:rPr>
        <w:t>Experience, performance, and earnings</w:t>
      </w:r>
      <w:r w:rsidR="00E67EB9">
        <w:rPr>
          <w:rFonts w:cs="Times New Roman"/>
          <w:szCs w:val="24"/>
          <w:lang w:val="en-GB" w:eastAsia="en-GB" w:bidi="ar-SA"/>
        </w:rPr>
        <w:t>’</w:t>
      </w:r>
      <w:r w:rsidR="009D4D38">
        <w:rPr>
          <w:rFonts w:cs="Times New Roman"/>
          <w:szCs w:val="24"/>
          <w:lang w:val="en-GB" w:eastAsia="en-GB" w:bidi="ar-SA"/>
        </w:rPr>
        <w:t>,</w:t>
      </w:r>
      <w:r w:rsidRPr="00DB6EA7">
        <w:rPr>
          <w:rFonts w:cs="Times New Roman"/>
          <w:szCs w:val="24"/>
          <w:lang w:val="en-GB" w:eastAsia="en-GB" w:bidi="ar-SA"/>
        </w:rPr>
        <w:t xml:space="preserve"> </w:t>
      </w:r>
      <w:r w:rsidRPr="00DB6EA7">
        <w:rPr>
          <w:rFonts w:cs="Times New Roman"/>
          <w:i/>
          <w:iCs/>
          <w:szCs w:val="24"/>
          <w:lang w:val="en-GB" w:eastAsia="en-GB" w:bidi="ar-SA"/>
        </w:rPr>
        <w:t>The Quarterly Journal of Economics</w:t>
      </w:r>
      <w:r w:rsidR="00E67EB9">
        <w:rPr>
          <w:rFonts w:cs="Times New Roman"/>
          <w:szCs w:val="24"/>
          <w:lang w:val="en-GB" w:eastAsia="en-GB" w:bidi="ar-SA"/>
        </w:rPr>
        <w:t xml:space="preserve">, vol. </w:t>
      </w:r>
      <w:r w:rsidRPr="00DB6EA7">
        <w:rPr>
          <w:rFonts w:cs="Times New Roman"/>
          <w:szCs w:val="24"/>
          <w:lang w:val="en-GB" w:eastAsia="en-GB" w:bidi="ar-SA"/>
        </w:rPr>
        <w:t>95</w:t>
      </w:r>
      <w:r w:rsidR="00E67EB9">
        <w:rPr>
          <w:rFonts w:cs="Times New Roman"/>
          <w:szCs w:val="24"/>
          <w:lang w:val="en-GB" w:eastAsia="en-GB" w:bidi="ar-SA"/>
        </w:rPr>
        <w:t>, pp.</w:t>
      </w:r>
      <w:r w:rsidRPr="00DB6EA7">
        <w:rPr>
          <w:rFonts w:cs="Times New Roman"/>
          <w:szCs w:val="24"/>
          <w:lang w:val="en-GB" w:eastAsia="en-GB" w:bidi="ar-SA"/>
        </w:rPr>
        <w:t xml:space="preserve"> 703-36.</w:t>
      </w:r>
      <w:proofErr w:type="gramEnd"/>
    </w:p>
    <w:p w:rsidR="00F917F0" w:rsidRDefault="00F917F0" w:rsidP="00812F06">
      <w:pPr>
        <w:spacing w:line="276" w:lineRule="auto"/>
        <w:rPr>
          <w:rFonts w:cs="Times New Roman"/>
          <w:szCs w:val="24"/>
          <w:lang w:val="en-GB" w:eastAsia="en-GB" w:bidi="ar-SA"/>
        </w:rPr>
      </w:pPr>
    </w:p>
    <w:p w:rsidR="002C32DC" w:rsidRDefault="00F917F0">
      <w:pPr>
        <w:jc w:val="both"/>
        <w:rPr>
          <w:lang w:val="en-GB"/>
        </w:rPr>
      </w:pPr>
      <w:r w:rsidRPr="00B11282">
        <w:rPr>
          <w:lang w:val="en-GB"/>
        </w:rPr>
        <w:t>Mincer, J. A.,</w:t>
      </w:r>
      <w:r w:rsidR="007E3ECA">
        <w:rPr>
          <w:lang w:val="en-GB"/>
        </w:rPr>
        <w:t xml:space="preserve"> 1958,</w:t>
      </w:r>
      <w:r w:rsidRPr="00B11282">
        <w:rPr>
          <w:lang w:val="en-GB"/>
        </w:rPr>
        <w:t xml:space="preserve"> ‘Investments in human capital and personal income distribution’, </w:t>
      </w:r>
      <w:r w:rsidRPr="00B11282">
        <w:rPr>
          <w:i/>
          <w:lang w:val="en-GB"/>
        </w:rPr>
        <w:t>Journal of Political Economy</w:t>
      </w:r>
      <w:r w:rsidRPr="00B11282">
        <w:rPr>
          <w:lang w:val="en-GB"/>
        </w:rPr>
        <w:t>, 66</w:t>
      </w:r>
      <w:proofErr w:type="gramStart"/>
      <w:r w:rsidRPr="00B11282">
        <w:rPr>
          <w:lang w:val="en-GB"/>
        </w:rPr>
        <w:t>,  pp</w:t>
      </w:r>
      <w:proofErr w:type="gramEnd"/>
      <w:r w:rsidRPr="00B11282">
        <w:rPr>
          <w:lang w:val="en-GB"/>
        </w:rPr>
        <w:t>. 281–302.</w:t>
      </w:r>
    </w:p>
    <w:p w:rsidR="00F917F0" w:rsidRPr="00DB6EA7" w:rsidRDefault="00F917F0" w:rsidP="00812F06">
      <w:pPr>
        <w:spacing w:line="276" w:lineRule="auto"/>
        <w:rPr>
          <w:rFonts w:cs="Times New Roman"/>
          <w:szCs w:val="24"/>
          <w:lang w:val="en-GB" w:eastAsia="en-GB" w:bidi="ar-SA"/>
        </w:rPr>
      </w:pPr>
    </w:p>
    <w:p w:rsidR="00812F06" w:rsidRPr="000F2880" w:rsidRDefault="00812F06" w:rsidP="00812F06">
      <w:pPr>
        <w:spacing w:line="276" w:lineRule="auto"/>
        <w:rPr>
          <w:lang w:val="en-AU"/>
        </w:rPr>
      </w:pPr>
      <w:r w:rsidRPr="000F2880">
        <w:rPr>
          <w:lang w:val="en-AU"/>
        </w:rPr>
        <w:t>Prendergast, C</w:t>
      </w:r>
      <w:r w:rsidR="009D4D38">
        <w:rPr>
          <w:lang w:val="en-AU"/>
        </w:rPr>
        <w:t>.</w:t>
      </w:r>
      <w:r w:rsidRPr="000F2880">
        <w:rPr>
          <w:lang w:val="en-AU"/>
        </w:rPr>
        <w:t xml:space="preserve"> </w:t>
      </w:r>
      <w:proofErr w:type="gramStart"/>
      <w:r w:rsidRPr="000F2880">
        <w:rPr>
          <w:lang w:val="en-AU"/>
        </w:rPr>
        <w:t>1999</w:t>
      </w:r>
      <w:r w:rsidR="009D4D38">
        <w:rPr>
          <w:lang w:val="en-AU"/>
        </w:rPr>
        <w:t>,’</w:t>
      </w:r>
      <w:r w:rsidRPr="000F2880">
        <w:rPr>
          <w:lang w:val="en-AU"/>
        </w:rPr>
        <w:t>The</w:t>
      </w:r>
      <w:proofErr w:type="gramEnd"/>
      <w:r w:rsidRPr="000F2880">
        <w:rPr>
          <w:lang w:val="en-AU"/>
        </w:rPr>
        <w:t xml:space="preserve"> </w:t>
      </w:r>
      <w:r w:rsidR="009D4D38">
        <w:rPr>
          <w:lang w:val="en-AU"/>
        </w:rPr>
        <w:t>p</w:t>
      </w:r>
      <w:r w:rsidRPr="000F2880">
        <w:rPr>
          <w:lang w:val="en-AU"/>
        </w:rPr>
        <w:t xml:space="preserve">rovision of </w:t>
      </w:r>
      <w:r w:rsidR="009D4D38">
        <w:rPr>
          <w:lang w:val="en-AU"/>
        </w:rPr>
        <w:t>i</w:t>
      </w:r>
      <w:r w:rsidRPr="000F2880">
        <w:rPr>
          <w:lang w:val="en-AU"/>
        </w:rPr>
        <w:t xml:space="preserve">ncentives in </w:t>
      </w:r>
      <w:r w:rsidR="009D4D38">
        <w:rPr>
          <w:lang w:val="en-AU"/>
        </w:rPr>
        <w:t>f</w:t>
      </w:r>
      <w:r w:rsidRPr="000F2880">
        <w:rPr>
          <w:lang w:val="en-AU"/>
        </w:rPr>
        <w:t>irms</w:t>
      </w:r>
      <w:r w:rsidR="009D4D38">
        <w:rPr>
          <w:lang w:val="en-AU"/>
        </w:rPr>
        <w:t>’</w:t>
      </w:r>
      <w:r w:rsidRPr="000F2880">
        <w:rPr>
          <w:lang w:val="en-AU"/>
        </w:rPr>
        <w:t xml:space="preserve">, </w:t>
      </w:r>
      <w:r w:rsidR="00C8448E" w:rsidRPr="00C8448E">
        <w:rPr>
          <w:i/>
          <w:lang w:val="en-AU"/>
        </w:rPr>
        <w:t>Journal of Economic Literature</w:t>
      </w:r>
      <w:r w:rsidRPr="000F2880">
        <w:rPr>
          <w:lang w:val="en-AU"/>
        </w:rPr>
        <w:t xml:space="preserve">, </w:t>
      </w:r>
      <w:r w:rsidR="009D4D38">
        <w:rPr>
          <w:lang w:val="en-AU"/>
        </w:rPr>
        <w:t xml:space="preserve">vol. </w:t>
      </w:r>
      <w:r w:rsidRPr="000F2880">
        <w:rPr>
          <w:lang w:val="en-AU"/>
        </w:rPr>
        <w:t xml:space="preserve">37, </w:t>
      </w:r>
      <w:r w:rsidR="009D4D38">
        <w:rPr>
          <w:lang w:val="en-AU"/>
        </w:rPr>
        <w:t xml:space="preserve">pp. </w:t>
      </w:r>
      <w:r w:rsidRPr="000F2880">
        <w:rPr>
          <w:lang w:val="en-AU"/>
        </w:rPr>
        <w:t>7-63.</w:t>
      </w:r>
    </w:p>
    <w:p w:rsidR="00812F06" w:rsidRPr="000F2880" w:rsidRDefault="00812F06" w:rsidP="00812F06">
      <w:pPr>
        <w:spacing w:line="276" w:lineRule="auto"/>
        <w:rPr>
          <w:lang w:val="en-AU"/>
        </w:rPr>
      </w:pPr>
    </w:p>
    <w:p w:rsidR="00812F06" w:rsidRPr="007E3ECA" w:rsidRDefault="00812F06" w:rsidP="00812F06">
      <w:pPr>
        <w:spacing w:line="276" w:lineRule="auto"/>
        <w:rPr>
          <w:szCs w:val="24"/>
          <w:lang w:val="en-AU"/>
        </w:rPr>
      </w:pPr>
      <w:r w:rsidRPr="000F2880">
        <w:rPr>
          <w:lang w:val="en-AU"/>
        </w:rPr>
        <w:t>Pope, D</w:t>
      </w:r>
      <w:r w:rsidR="00552E21">
        <w:rPr>
          <w:lang w:val="en-AU"/>
        </w:rPr>
        <w:t xml:space="preserve">. </w:t>
      </w:r>
      <w:r w:rsidRPr="000F2880">
        <w:rPr>
          <w:lang w:val="en-AU"/>
        </w:rPr>
        <w:t>1989</w:t>
      </w:r>
      <w:r w:rsidR="00552E21">
        <w:rPr>
          <w:lang w:val="en-AU"/>
        </w:rPr>
        <w:t>,</w:t>
      </w:r>
      <w:r w:rsidRPr="000F2880">
        <w:rPr>
          <w:lang w:val="en-AU"/>
        </w:rPr>
        <w:t xml:space="preserve"> </w:t>
      </w:r>
      <w:r w:rsidR="00552E21">
        <w:rPr>
          <w:lang w:val="en-AU"/>
        </w:rPr>
        <w:t>‘</w:t>
      </w:r>
      <w:r w:rsidRPr="007E3ECA">
        <w:rPr>
          <w:szCs w:val="24"/>
          <w:lang w:val="en-AU"/>
        </w:rPr>
        <w:t xml:space="preserve">Bankers and </w:t>
      </w:r>
      <w:r w:rsidR="00552E21" w:rsidRPr="007E3ECA">
        <w:rPr>
          <w:szCs w:val="24"/>
          <w:lang w:val="en-AU"/>
        </w:rPr>
        <w:t>b</w:t>
      </w:r>
      <w:r w:rsidRPr="007E3ECA">
        <w:rPr>
          <w:szCs w:val="24"/>
          <w:lang w:val="en-AU"/>
        </w:rPr>
        <w:t xml:space="preserve">anking </w:t>
      </w:r>
      <w:r w:rsidR="00552E21" w:rsidRPr="007E3ECA">
        <w:rPr>
          <w:szCs w:val="24"/>
          <w:lang w:val="en-AU"/>
        </w:rPr>
        <w:t>b</w:t>
      </w:r>
      <w:r w:rsidRPr="007E3ECA">
        <w:rPr>
          <w:szCs w:val="24"/>
          <w:lang w:val="en-AU"/>
        </w:rPr>
        <w:t>usiness, 1860-1914</w:t>
      </w:r>
      <w:r w:rsidR="00552E21" w:rsidRPr="007E3ECA">
        <w:rPr>
          <w:szCs w:val="24"/>
          <w:lang w:val="en-AU"/>
        </w:rPr>
        <w:t>’,</w:t>
      </w:r>
      <w:r w:rsidRPr="007E3ECA">
        <w:rPr>
          <w:szCs w:val="24"/>
          <w:lang w:val="en-AU"/>
        </w:rPr>
        <w:t xml:space="preserve"> in </w:t>
      </w:r>
      <w:r w:rsidR="00C8448E" w:rsidRPr="007E3ECA">
        <w:rPr>
          <w:i/>
          <w:szCs w:val="24"/>
          <w:lang w:val="en-AU"/>
        </w:rPr>
        <w:t>Australia’s Greatest Asset: Human Resources in the Nineteenth and Twentieth Centuries</w:t>
      </w:r>
      <w:r w:rsidR="00552E21" w:rsidRPr="007E3ECA">
        <w:rPr>
          <w:szCs w:val="24"/>
          <w:lang w:val="en-AU"/>
        </w:rPr>
        <w:t xml:space="preserve">, </w:t>
      </w:r>
      <w:proofErr w:type="spellStart"/>
      <w:proofErr w:type="gramStart"/>
      <w:r w:rsidR="00552E21" w:rsidRPr="007E3ECA">
        <w:rPr>
          <w:szCs w:val="24"/>
          <w:lang w:val="en-AU"/>
        </w:rPr>
        <w:t>eds</w:t>
      </w:r>
      <w:proofErr w:type="spellEnd"/>
      <w:proofErr w:type="gramEnd"/>
      <w:r w:rsidR="00552E21" w:rsidRPr="007E3ECA">
        <w:rPr>
          <w:szCs w:val="24"/>
          <w:lang w:val="en-AU"/>
        </w:rPr>
        <w:t xml:space="preserve"> D, Pope and L. Alston, </w:t>
      </w:r>
      <w:r w:rsidRPr="007E3ECA">
        <w:rPr>
          <w:szCs w:val="24"/>
          <w:lang w:val="en-AU"/>
        </w:rPr>
        <w:t>Federation Press</w:t>
      </w:r>
      <w:r w:rsidR="00552E21" w:rsidRPr="007E3ECA">
        <w:rPr>
          <w:szCs w:val="24"/>
          <w:lang w:val="en-AU"/>
        </w:rPr>
        <w:t>, Annandale</w:t>
      </w:r>
      <w:r w:rsidRPr="007E3ECA">
        <w:rPr>
          <w:szCs w:val="24"/>
          <w:lang w:val="en-AU"/>
        </w:rPr>
        <w:t>.</w:t>
      </w:r>
    </w:p>
    <w:p w:rsidR="00812F06" w:rsidRPr="007E3ECA" w:rsidRDefault="00812F06" w:rsidP="00812F06">
      <w:pPr>
        <w:spacing w:line="276" w:lineRule="auto"/>
        <w:rPr>
          <w:szCs w:val="24"/>
          <w:lang w:val="en-AU"/>
        </w:rPr>
      </w:pPr>
    </w:p>
    <w:p w:rsidR="00812F06" w:rsidRPr="007E3ECA" w:rsidRDefault="00812F06" w:rsidP="00812F06">
      <w:pPr>
        <w:spacing w:line="276" w:lineRule="auto"/>
        <w:rPr>
          <w:szCs w:val="24"/>
          <w:lang w:val="en-AU"/>
        </w:rPr>
      </w:pPr>
      <w:proofErr w:type="spellStart"/>
      <w:r w:rsidRPr="007E3ECA">
        <w:rPr>
          <w:szCs w:val="24"/>
          <w:lang w:val="en-AU"/>
        </w:rPr>
        <w:t>Rei</w:t>
      </w:r>
      <w:proofErr w:type="spellEnd"/>
      <w:r w:rsidRPr="007E3ECA">
        <w:rPr>
          <w:szCs w:val="24"/>
          <w:lang w:val="en-AU"/>
        </w:rPr>
        <w:t>, C</w:t>
      </w:r>
      <w:r w:rsidR="00BC072A" w:rsidRPr="007E3ECA">
        <w:rPr>
          <w:szCs w:val="24"/>
          <w:lang w:val="en-AU"/>
        </w:rPr>
        <w:t>. 2014,</w:t>
      </w:r>
      <w:r w:rsidRPr="007E3ECA">
        <w:rPr>
          <w:szCs w:val="24"/>
          <w:lang w:val="en-AU"/>
        </w:rPr>
        <w:t xml:space="preserve"> </w:t>
      </w:r>
      <w:r w:rsidR="00BC072A" w:rsidRPr="007E3ECA">
        <w:rPr>
          <w:szCs w:val="24"/>
          <w:lang w:val="en-AU"/>
        </w:rPr>
        <w:t>‘</w:t>
      </w:r>
      <w:r w:rsidRPr="007E3ECA">
        <w:rPr>
          <w:szCs w:val="24"/>
          <w:lang w:val="en-AU"/>
        </w:rPr>
        <w:t xml:space="preserve">Careers and </w:t>
      </w:r>
      <w:r w:rsidR="00BC072A" w:rsidRPr="007E3ECA">
        <w:rPr>
          <w:szCs w:val="24"/>
          <w:lang w:val="en-AU"/>
        </w:rPr>
        <w:t>w</w:t>
      </w:r>
      <w:r w:rsidRPr="007E3ECA">
        <w:rPr>
          <w:szCs w:val="24"/>
          <w:lang w:val="en-AU"/>
        </w:rPr>
        <w:t>ages in the Dutch East India Company</w:t>
      </w:r>
      <w:r w:rsidR="00BC072A" w:rsidRPr="007E3ECA">
        <w:rPr>
          <w:szCs w:val="24"/>
          <w:lang w:val="en-AU"/>
        </w:rPr>
        <w:t>’</w:t>
      </w:r>
      <w:r w:rsidRPr="007E3ECA">
        <w:rPr>
          <w:szCs w:val="24"/>
          <w:lang w:val="en-AU"/>
        </w:rPr>
        <w:t xml:space="preserve">, </w:t>
      </w:r>
      <w:proofErr w:type="spellStart"/>
      <w:r w:rsidRPr="007E3ECA">
        <w:rPr>
          <w:szCs w:val="24"/>
          <w:lang w:val="en-AU"/>
        </w:rPr>
        <w:t>Cliometrica</w:t>
      </w:r>
      <w:proofErr w:type="spellEnd"/>
    </w:p>
    <w:p w:rsidR="00812F06" w:rsidRPr="007E3ECA" w:rsidRDefault="00BC072A" w:rsidP="00812F06">
      <w:pPr>
        <w:spacing w:line="276" w:lineRule="auto"/>
        <w:rPr>
          <w:szCs w:val="24"/>
          <w:lang w:val="en-AU"/>
        </w:rPr>
      </w:pPr>
      <w:proofErr w:type="gramStart"/>
      <w:r w:rsidRPr="007E3ECA">
        <w:rPr>
          <w:szCs w:val="24"/>
          <w:lang w:val="en-AU"/>
        </w:rPr>
        <w:t xml:space="preserve">Vol. </w:t>
      </w:r>
      <w:r w:rsidR="00812F06" w:rsidRPr="007E3ECA">
        <w:rPr>
          <w:szCs w:val="24"/>
          <w:lang w:val="en-AU"/>
        </w:rPr>
        <w:t>8, forthcoming.</w:t>
      </w:r>
      <w:proofErr w:type="gramEnd"/>
    </w:p>
    <w:p w:rsidR="00812F06" w:rsidRPr="007E3ECA" w:rsidRDefault="00812F06" w:rsidP="00812F06">
      <w:pPr>
        <w:spacing w:line="276" w:lineRule="auto"/>
        <w:rPr>
          <w:szCs w:val="24"/>
          <w:lang w:val="en-AU"/>
        </w:rPr>
      </w:pPr>
    </w:p>
    <w:p w:rsidR="00812F06" w:rsidRPr="007E3ECA" w:rsidRDefault="00812F06" w:rsidP="00812F06">
      <w:pPr>
        <w:spacing w:line="276" w:lineRule="auto"/>
        <w:rPr>
          <w:szCs w:val="24"/>
          <w:lang w:val="en-AU"/>
        </w:rPr>
      </w:pPr>
      <w:proofErr w:type="spellStart"/>
      <w:r w:rsidRPr="007E3ECA">
        <w:rPr>
          <w:szCs w:val="24"/>
          <w:lang w:val="en-AU"/>
        </w:rPr>
        <w:t>Sammartino</w:t>
      </w:r>
      <w:proofErr w:type="spellEnd"/>
      <w:r w:rsidRPr="007E3ECA">
        <w:rPr>
          <w:szCs w:val="24"/>
          <w:lang w:val="en-AU"/>
        </w:rPr>
        <w:t>, A</w:t>
      </w:r>
      <w:r w:rsidR="00026CBC" w:rsidRPr="007E3ECA">
        <w:rPr>
          <w:szCs w:val="24"/>
          <w:lang w:val="en-AU"/>
        </w:rPr>
        <w:t>.</w:t>
      </w:r>
      <w:r w:rsidRPr="007E3ECA">
        <w:rPr>
          <w:szCs w:val="24"/>
          <w:lang w:val="en-AU"/>
        </w:rPr>
        <w:t xml:space="preserve"> 2002, </w:t>
      </w:r>
      <w:r w:rsidR="00C8448E" w:rsidRPr="007E3ECA">
        <w:rPr>
          <w:i/>
          <w:szCs w:val="24"/>
          <w:lang w:val="en-AU"/>
        </w:rPr>
        <w:t>Human Resource Management Practices and Labour Market Structures in the Victorian Railways 1864-1921</w:t>
      </w:r>
      <w:r w:rsidRPr="007E3ECA">
        <w:rPr>
          <w:szCs w:val="24"/>
          <w:lang w:val="en-AU"/>
        </w:rPr>
        <w:t>, PhD thesis, University of Melbourne</w:t>
      </w:r>
      <w:r w:rsidR="00026CBC" w:rsidRPr="007E3ECA">
        <w:rPr>
          <w:szCs w:val="24"/>
          <w:lang w:val="en-AU"/>
        </w:rPr>
        <w:t>.</w:t>
      </w:r>
    </w:p>
    <w:p w:rsidR="001E23DC" w:rsidRPr="007E3ECA" w:rsidRDefault="001E23DC" w:rsidP="001E23DC">
      <w:pPr>
        <w:spacing w:line="276" w:lineRule="auto"/>
        <w:rPr>
          <w:szCs w:val="24"/>
          <w:lang w:val="en-AU"/>
        </w:rPr>
      </w:pPr>
    </w:p>
    <w:p w:rsidR="001E23DC" w:rsidRPr="007E3ECA" w:rsidRDefault="001E23DC" w:rsidP="001E23DC">
      <w:pPr>
        <w:spacing w:line="276" w:lineRule="auto"/>
        <w:rPr>
          <w:szCs w:val="24"/>
          <w:lang w:val="en-AU"/>
        </w:rPr>
      </w:pPr>
      <w:proofErr w:type="gramStart"/>
      <w:r w:rsidRPr="007E3ECA">
        <w:rPr>
          <w:szCs w:val="24"/>
          <w:lang w:val="en-AU"/>
        </w:rPr>
        <w:t xml:space="preserve">Seltzer, A. J. 2011, ‘Female salaries and careers in British banking, 1915-41’, </w:t>
      </w:r>
      <w:r w:rsidRPr="007E3ECA">
        <w:rPr>
          <w:i/>
          <w:szCs w:val="24"/>
          <w:lang w:val="en-AU"/>
        </w:rPr>
        <w:t>Explorations in Economic History</w:t>
      </w:r>
      <w:r w:rsidRPr="007E3ECA">
        <w:rPr>
          <w:szCs w:val="24"/>
          <w:lang w:val="en-AU"/>
        </w:rPr>
        <w:t>, vol. 48, pp. 461-477.</w:t>
      </w:r>
      <w:proofErr w:type="gramEnd"/>
      <w:r w:rsidRPr="007E3ECA">
        <w:rPr>
          <w:szCs w:val="24"/>
          <w:lang w:val="en-AU"/>
        </w:rPr>
        <w:t xml:space="preserve"> </w:t>
      </w:r>
    </w:p>
    <w:p w:rsidR="001E23DC" w:rsidRPr="007E3ECA" w:rsidRDefault="001E23DC" w:rsidP="001E23DC">
      <w:pPr>
        <w:spacing w:line="276" w:lineRule="auto"/>
        <w:rPr>
          <w:szCs w:val="24"/>
          <w:lang w:val="en-AU"/>
        </w:rPr>
      </w:pPr>
    </w:p>
    <w:p w:rsidR="001E23DC" w:rsidRPr="007E3ECA" w:rsidRDefault="001E23DC" w:rsidP="001E23DC">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line="276" w:lineRule="auto"/>
        <w:ind w:right="-431"/>
        <w:rPr>
          <w:spacing w:val="-2"/>
          <w:szCs w:val="24"/>
          <w:lang w:val="en-AU"/>
        </w:rPr>
      </w:pPr>
      <w:r w:rsidRPr="007E3ECA">
        <w:rPr>
          <w:szCs w:val="24"/>
          <w:lang w:val="en-AU"/>
        </w:rPr>
        <w:t>Seltzer, A</w:t>
      </w:r>
      <w:r w:rsidR="00622820" w:rsidRPr="007E3ECA">
        <w:rPr>
          <w:szCs w:val="24"/>
          <w:lang w:val="en-AU"/>
        </w:rPr>
        <w:t xml:space="preserve">. J. 2013, </w:t>
      </w:r>
      <w:r w:rsidR="00622820" w:rsidRPr="007E3ECA">
        <w:rPr>
          <w:spacing w:val="-2"/>
          <w:szCs w:val="24"/>
          <w:lang w:val="en-AU"/>
        </w:rPr>
        <w:t>‘</w:t>
      </w:r>
      <w:proofErr w:type="gramStart"/>
      <w:r w:rsidR="00622820" w:rsidRPr="007E3ECA">
        <w:rPr>
          <w:spacing w:val="-2"/>
          <w:szCs w:val="24"/>
          <w:lang w:val="en-AU"/>
        </w:rPr>
        <w:t>The</w:t>
      </w:r>
      <w:proofErr w:type="gramEnd"/>
      <w:r w:rsidR="00622820" w:rsidRPr="007E3ECA">
        <w:rPr>
          <w:spacing w:val="-2"/>
          <w:szCs w:val="24"/>
          <w:lang w:val="en-AU"/>
        </w:rPr>
        <w:t xml:space="preserve"> impact of female employment on male salaries and c</w:t>
      </w:r>
      <w:r w:rsidRPr="007E3ECA">
        <w:rPr>
          <w:spacing w:val="-2"/>
          <w:szCs w:val="24"/>
          <w:lang w:val="en-AU"/>
        </w:rPr>
        <w:t>are</w:t>
      </w:r>
      <w:r w:rsidR="00622820" w:rsidRPr="007E3ECA">
        <w:rPr>
          <w:spacing w:val="-2"/>
          <w:szCs w:val="24"/>
          <w:lang w:val="en-AU"/>
        </w:rPr>
        <w:t>ers: Evidence from the English banking i</w:t>
      </w:r>
      <w:r w:rsidRPr="007E3ECA">
        <w:rPr>
          <w:spacing w:val="-2"/>
          <w:szCs w:val="24"/>
          <w:lang w:val="en-AU"/>
        </w:rPr>
        <w:t>ndustry, 1890-1941</w:t>
      </w:r>
      <w:r w:rsidR="00622820" w:rsidRPr="007E3ECA">
        <w:rPr>
          <w:spacing w:val="-2"/>
          <w:szCs w:val="24"/>
          <w:lang w:val="en-AU"/>
        </w:rPr>
        <w:t>’,</w:t>
      </w:r>
      <w:r w:rsidRPr="007E3ECA">
        <w:rPr>
          <w:spacing w:val="-2"/>
          <w:szCs w:val="24"/>
          <w:lang w:val="en-AU"/>
        </w:rPr>
        <w:t xml:space="preserve"> </w:t>
      </w:r>
      <w:r w:rsidRPr="007E3ECA">
        <w:rPr>
          <w:i/>
          <w:spacing w:val="-2"/>
          <w:szCs w:val="24"/>
          <w:lang w:val="en-AU"/>
        </w:rPr>
        <w:t>Economic History Review</w:t>
      </w:r>
      <w:r w:rsidRPr="007E3ECA">
        <w:rPr>
          <w:spacing w:val="-2"/>
          <w:szCs w:val="24"/>
          <w:lang w:val="en-AU"/>
        </w:rPr>
        <w:t>, forthcoming.</w:t>
      </w:r>
    </w:p>
    <w:p w:rsidR="00812F06" w:rsidRPr="007E3ECA" w:rsidRDefault="00812F06" w:rsidP="00812F06">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line="276" w:lineRule="auto"/>
        <w:ind w:right="-431"/>
        <w:jc w:val="both"/>
        <w:rPr>
          <w:spacing w:val="-2"/>
          <w:szCs w:val="24"/>
          <w:lang w:val="en-AU"/>
        </w:rPr>
      </w:pPr>
    </w:p>
    <w:p w:rsidR="00812F06" w:rsidRPr="007E3ECA" w:rsidRDefault="00812F06" w:rsidP="00812F06">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line="276" w:lineRule="auto"/>
        <w:ind w:right="-431"/>
        <w:jc w:val="both"/>
        <w:rPr>
          <w:spacing w:val="-2"/>
          <w:szCs w:val="24"/>
          <w:lang w:val="en-AU"/>
        </w:rPr>
      </w:pPr>
      <w:r w:rsidRPr="007E3ECA">
        <w:rPr>
          <w:spacing w:val="-2"/>
          <w:szCs w:val="24"/>
          <w:lang w:val="en-AU"/>
        </w:rPr>
        <w:t>Seltzer, A</w:t>
      </w:r>
      <w:r w:rsidR="00026CBC" w:rsidRPr="007E3ECA">
        <w:rPr>
          <w:spacing w:val="-2"/>
          <w:szCs w:val="24"/>
          <w:lang w:val="en-AU"/>
        </w:rPr>
        <w:t>. J.</w:t>
      </w:r>
      <w:r w:rsidRPr="007E3ECA">
        <w:rPr>
          <w:spacing w:val="-2"/>
          <w:szCs w:val="24"/>
          <w:lang w:val="en-AU"/>
        </w:rPr>
        <w:t xml:space="preserve"> and </w:t>
      </w:r>
      <w:proofErr w:type="spellStart"/>
      <w:r w:rsidRPr="007E3ECA">
        <w:rPr>
          <w:spacing w:val="-2"/>
          <w:szCs w:val="24"/>
          <w:lang w:val="en-AU"/>
        </w:rPr>
        <w:t>Merrett</w:t>
      </w:r>
      <w:proofErr w:type="spellEnd"/>
      <w:r w:rsidRPr="007E3ECA">
        <w:rPr>
          <w:spacing w:val="-2"/>
          <w:szCs w:val="24"/>
          <w:lang w:val="en-AU"/>
        </w:rPr>
        <w:t>, D</w:t>
      </w:r>
      <w:r w:rsidR="00026CBC" w:rsidRPr="007E3ECA">
        <w:rPr>
          <w:spacing w:val="-2"/>
          <w:szCs w:val="24"/>
          <w:lang w:val="en-AU"/>
        </w:rPr>
        <w:t>. T. 2000,</w:t>
      </w:r>
      <w:r w:rsidRPr="007E3ECA">
        <w:rPr>
          <w:spacing w:val="-2"/>
          <w:szCs w:val="24"/>
          <w:lang w:val="en-AU"/>
        </w:rPr>
        <w:t xml:space="preserve"> </w:t>
      </w:r>
      <w:r w:rsidR="00026CBC" w:rsidRPr="007E3ECA">
        <w:rPr>
          <w:spacing w:val="-2"/>
          <w:szCs w:val="24"/>
          <w:lang w:val="en-AU"/>
        </w:rPr>
        <w:t>‘</w:t>
      </w:r>
      <w:r w:rsidRPr="007E3ECA">
        <w:rPr>
          <w:spacing w:val="-2"/>
          <w:szCs w:val="24"/>
          <w:lang w:val="en-AU"/>
        </w:rPr>
        <w:t xml:space="preserve">Personnel </w:t>
      </w:r>
      <w:r w:rsidR="00026CBC" w:rsidRPr="007E3ECA">
        <w:rPr>
          <w:spacing w:val="-2"/>
          <w:szCs w:val="24"/>
          <w:lang w:val="en-AU"/>
        </w:rPr>
        <w:t>p</w:t>
      </w:r>
      <w:r w:rsidRPr="007E3ECA">
        <w:rPr>
          <w:spacing w:val="-2"/>
          <w:szCs w:val="24"/>
          <w:lang w:val="en-AU"/>
        </w:rPr>
        <w:t xml:space="preserve">ractices at the Union Bank of Australia: Panel </w:t>
      </w:r>
      <w:r w:rsidR="00026CBC" w:rsidRPr="007E3ECA">
        <w:rPr>
          <w:spacing w:val="-2"/>
          <w:szCs w:val="24"/>
          <w:lang w:val="en-AU"/>
        </w:rPr>
        <w:t>e</w:t>
      </w:r>
      <w:r w:rsidRPr="007E3ECA">
        <w:rPr>
          <w:spacing w:val="-2"/>
          <w:szCs w:val="24"/>
          <w:lang w:val="en-AU"/>
        </w:rPr>
        <w:t xml:space="preserve">vidence from the 1887-1900 </w:t>
      </w:r>
      <w:r w:rsidR="00026CBC" w:rsidRPr="007E3ECA">
        <w:rPr>
          <w:spacing w:val="-2"/>
          <w:szCs w:val="24"/>
          <w:lang w:val="en-AU"/>
        </w:rPr>
        <w:t>e</w:t>
      </w:r>
      <w:r w:rsidRPr="007E3ECA">
        <w:rPr>
          <w:spacing w:val="-2"/>
          <w:szCs w:val="24"/>
          <w:lang w:val="en-AU"/>
        </w:rPr>
        <w:t xml:space="preserve">ntry </w:t>
      </w:r>
      <w:r w:rsidR="00026CBC" w:rsidRPr="007E3ECA">
        <w:rPr>
          <w:spacing w:val="-2"/>
          <w:szCs w:val="24"/>
          <w:lang w:val="en-AU"/>
        </w:rPr>
        <w:t>c</w:t>
      </w:r>
      <w:r w:rsidRPr="007E3ECA">
        <w:rPr>
          <w:spacing w:val="-2"/>
          <w:szCs w:val="24"/>
          <w:lang w:val="en-AU"/>
        </w:rPr>
        <w:t>ohorts</w:t>
      </w:r>
      <w:r w:rsidR="00026CBC" w:rsidRPr="007E3ECA">
        <w:rPr>
          <w:spacing w:val="-2"/>
          <w:szCs w:val="24"/>
          <w:lang w:val="en-AU"/>
        </w:rPr>
        <w:t>’</w:t>
      </w:r>
      <w:r w:rsidRPr="007E3ECA">
        <w:rPr>
          <w:spacing w:val="-2"/>
          <w:szCs w:val="24"/>
          <w:lang w:val="en-AU"/>
        </w:rPr>
        <w:t xml:space="preserve">, </w:t>
      </w:r>
      <w:r w:rsidRPr="007E3ECA">
        <w:rPr>
          <w:i/>
          <w:spacing w:val="-2"/>
          <w:szCs w:val="24"/>
          <w:lang w:val="en-AU"/>
        </w:rPr>
        <w:t xml:space="preserve">Journal of </w:t>
      </w:r>
      <w:proofErr w:type="spellStart"/>
      <w:r w:rsidRPr="007E3ECA">
        <w:rPr>
          <w:i/>
          <w:spacing w:val="-2"/>
          <w:szCs w:val="24"/>
          <w:lang w:val="en-AU"/>
        </w:rPr>
        <w:t>Labor</w:t>
      </w:r>
      <w:proofErr w:type="spellEnd"/>
      <w:r w:rsidRPr="007E3ECA">
        <w:rPr>
          <w:i/>
          <w:spacing w:val="-2"/>
          <w:szCs w:val="24"/>
          <w:lang w:val="en-AU"/>
        </w:rPr>
        <w:t xml:space="preserve"> Economics</w:t>
      </w:r>
      <w:r w:rsidRPr="007E3ECA">
        <w:rPr>
          <w:spacing w:val="-2"/>
          <w:szCs w:val="24"/>
          <w:lang w:val="en-AU"/>
        </w:rPr>
        <w:t xml:space="preserve">, </w:t>
      </w:r>
      <w:r w:rsidR="00026CBC" w:rsidRPr="007E3ECA">
        <w:rPr>
          <w:spacing w:val="-2"/>
          <w:szCs w:val="24"/>
          <w:lang w:val="en-AU"/>
        </w:rPr>
        <w:t xml:space="preserve">vol. </w:t>
      </w:r>
      <w:r w:rsidRPr="007E3ECA">
        <w:rPr>
          <w:spacing w:val="-2"/>
          <w:szCs w:val="24"/>
          <w:lang w:val="en-AU"/>
        </w:rPr>
        <w:t xml:space="preserve">18, </w:t>
      </w:r>
      <w:r w:rsidR="00026CBC" w:rsidRPr="007E3ECA">
        <w:rPr>
          <w:spacing w:val="-2"/>
          <w:szCs w:val="24"/>
          <w:lang w:val="en-AU"/>
        </w:rPr>
        <w:t>pp.</w:t>
      </w:r>
      <w:r w:rsidRPr="007E3ECA">
        <w:rPr>
          <w:spacing w:val="-2"/>
          <w:szCs w:val="24"/>
          <w:lang w:val="en-AU"/>
        </w:rPr>
        <w:t xml:space="preserve"> 573-613.</w:t>
      </w:r>
    </w:p>
    <w:p w:rsidR="00812F06" w:rsidRPr="007E3ECA" w:rsidRDefault="00812F06" w:rsidP="00812F06">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line="276" w:lineRule="auto"/>
        <w:ind w:right="-431"/>
        <w:jc w:val="both"/>
        <w:rPr>
          <w:spacing w:val="-2"/>
          <w:szCs w:val="24"/>
          <w:lang w:val="en-AU"/>
        </w:rPr>
      </w:pPr>
    </w:p>
    <w:p w:rsidR="00812F06" w:rsidRPr="007E3ECA" w:rsidRDefault="00812F06" w:rsidP="00812F06">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line="276" w:lineRule="auto"/>
        <w:ind w:right="-431"/>
        <w:jc w:val="both"/>
        <w:rPr>
          <w:szCs w:val="24"/>
          <w:lang w:val="en-AU"/>
        </w:rPr>
      </w:pPr>
      <w:r w:rsidRPr="007E3ECA">
        <w:rPr>
          <w:spacing w:val="-2"/>
          <w:szCs w:val="24"/>
          <w:lang w:val="en-AU"/>
        </w:rPr>
        <w:t>Seltzer, A</w:t>
      </w:r>
      <w:r w:rsidR="00026CBC" w:rsidRPr="007E3ECA">
        <w:rPr>
          <w:spacing w:val="-2"/>
          <w:szCs w:val="24"/>
          <w:lang w:val="en-AU"/>
        </w:rPr>
        <w:t>. J.</w:t>
      </w:r>
      <w:r w:rsidRPr="007E3ECA">
        <w:rPr>
          <w:spacing w:val="-2"/>
          <w:szCs w:val="24"/>
          <w:lang w:val="en-AU"/>
        </w:rPr>
        <w:t xml:space="preserve"> Simons, K</w:t>
      </w:r>
      <w:r w:rsidR="00F30E6B" w:rsidRPr="007E3ECA">
        <w:rPr>
          <w:spacing w:val="-2"/>
          <w:szCs w:val="24"/>
          <w:lang w:val="en-AU"/>
        </w:rPr>
        <w:t>. 2001,</w:t>
      </w:r>
      <w:r w:rsidRPr="007E3ECA">
        <w:rPr>
          <w:spacing w:val="-2"/>
          <w:szCs w:val="24"/>
          <w:lang w:val="en-AU"/>
        </w:rPr>
        <w:t xml:space="preserve"> </w:t>
      </w:r>
      <w:r w:rsidR="00F30E6B" w:rsidRPr="007E3ECA">
        <w:rPr>
          <w:spacing w:val="-2"/>
          <w:szCs w:val="24"/>
          <w:lang w:val="en-AU"/>
        </w:rPr>
        <w:t>‘</w:t>
      </w:r>
      <w:r w:rsidRPr="007E3ECA">
        <w:rPr>
          <w:szCs w:val="24"/>
          <w:lang w:val="en-AU"/>
        </w:rPr>
        <w:t xml:space="preserve">Salaries and </w:t>
      </w:r>
      <w:r w:rsidR="00F30E6B" w:rsidRPr="007E3ECA">
        <w:rPr>
          <w:szCs w:val="24"/>
          <w:lang w:val="en-AU"/>
        </w:rPr>
        <w:t>c</w:t>
      </w:r>
      <w:r w:rsidRPr="007E3ECA">
        <w:rPr>
          <w:szCs w:val="24"/>
          <w:lang w:val="en-AU"/>
        </w:rPr>
        <w:t xml:space="preserve">areer </w:t>
      </w:r>
      <w:r w:rsidR="00F30E6B" w:rsidRPr="007E3ECA">
        <w:rPr>
          <w:szCs w:val="24"/>
          <w:lang w:val="en-AU"/>
        </w:rPr>
        <w:t>o</w:t>
      </w:r>
      <w:r w:rsidRPr="007E3ECA">
        <w:rPr>
          <w:szCs w:val="24"/>
          <w:lang w:val="en-AU"/>
        </w:rPr>
        <w:t xml:space="preserve">pportunities in the </w:t>
      </w:r>
      <w:r w:rsidR="00F30E6B" w:rsidRPr="007E3ECA">
        <w:rPr>
          <w:szCs w:val="24"/>
          <w:lang w:val="en-AU"/>
        </w:rPr>
        <w:t>b</w:t>
      </w:r>
      <w:r w:rsidRPr="007E3ECA">
        <w:rPr>
          <w:szCs w:val="24"/>
          <w:lang w:val="en-AU"/>
        </w:rPr>
        <w:t xml:space="preserve">anking </w:t>
      </w:r>
      <w:r w:rsidR="00F30E6B" w:rsidRPr="007E3ECA">
        <w:rPr>
          <w:szCs w:val="24"/>
          <w:lang w:val="en-AU"/>
        </w:rPr>
        <w:t>i</w:t>
      </w:r>
      <w:r w:rsidRPr="007E3ECA">
        <w:rPr>
          <w:szCs w:val="24"/>
          <w:lang w:val="en-AU"/>
        </w:rPr>
        <w:t xml:space="preserve">ndustry: Evidence from the </w:t>
      </w:r>
      <w:r w:rsidR="00F30E6B" w:rsidRPr="007E3ECA">
        <w:rPr>
          <w:szCs w:val="24"/>
          <w:lang w:val="en-AU"/>
        </w:rPr>
        <w:t>p</w:t>
      </w:r>
      <w:r w:rsidRPr="007E3ECA">
        <w:rPr>
          <w:szCs w:val="24"/>
          <w:lang w:val="en-AU"/>
        </w:rPr>
        <w:t xml:space="preserve">ersonnel </w:t>
      </w:r>
      <w:r w:rsidR="00F30E6B" w:rsidRPr="007E3ECA">
        <w:rPr>
          <w:szCs w:val="24"/>
          <w:lang w:val="en-AU"/>
        </w:rPr>
        <w:t>r</w:t>
      </w:r>
      <w:r w:rsidRPr="007E3ECA">
        <w:rPr>
          <w:szCs w:val="24"/>
          <w:lang w:val="en-AU"/>
        </w:rPr>
        <w:t>ecords of the Union Bank of Australia</w:t>
      </w:r>
      <w:r w:rsidR="00F30E6B" w:rsidRPr="007E3ECA">
        <w:rPr>
          <w:szCs w:val="24"/>
          <w:lang w:val="en-AU"/>
        </w:rPr>
        <w:t>,’</w:t>
      </w:r>
      <w:r w:rsidRPr="007E3ECA">
        <w:rPr>
          <w:spacing w:val="-2"/>
          <w:szCs w:val="24"/>
          <w:lang w:val="en-AU"/>
        </w:rPr>
        <w:t xml:space="preserve"> </w:t>
      </w:r>
      <w:r w:rsidRPr="007E3ECA">
        <w:rPr>
          <w:i/>
          <w:spacing w:val="-2"/>
          <w:szCs w:val="24"/>
          <w:lang w:val="en-AU"/>
        </w:rPr>
        <w:t>Explorations in Economic History</w:t>
      </w:r>
      <w:r w:rsidRPr="007E3ECA">
        <w:rPr>
          <w:spacing w:val="-2"/>
          <w:szCs w:val="24"/>
          <w:lang w:val="en-AU"/>
        </w:rPr>
        <w:t xml:space="preserve">, </w:t>
      </w:r>
      <w:r w:rsidR="00F30E6B" w:rsidRPr="007E3ECA">
        <w:rPr>
          <w:spacing w:val="-2"/>
          <w:szCs w:val="24"/>
          <w:lang w:val="en-AU"/>
        </w:rPr>
        <w:t xml:space="preserve">vol. </w:t>
      </w:r>
      <w:r w:rsidRPr="007E3ECA">
        <w:rPr>
          <w:spacing w:val="-2"/>
          <w:szCs w:val="24"/>
          <w:lang w:val="en-AU"/>
        </w:rPr>
        <w:t xml:space="preserve">38, </w:t>
      </w:r>
      <w:r w:rsidR="00F30E6B" w:rsidRPr="007E3ECA">
        <w:rPr>
          <w:spacing w:val="-2"/>
          <w:szCs w:val="24"/>
          <w:lang w:val="en-AU"/>
        </w:rPr>
        <w:t xml:space="preserve">pp. </w:t>
      </w:r>
      <w:r w:rsidRPr="007E3ECA">
        <w:rPr>
          <w:spacing w:val="-2"/>
          <w:szCs w:val="24"/>
          <w:lang w:val="en-AU"/>
        </w:rPr>
        <w:t>195-224.</w:t>
      </w:r>
    </w:p>
    <w:p w:rsidR="00812F06" w:rsidRPr="007E3ECA" w:rsidRDefault="00812F06" w:rsidP="00812F06">
      <w:pPr>
        <w:spacing w:line="276" w:lineRule="auto"/>
        <w:rPr>
          <w:szCs w:val="24"/>
          <w:lang w:val="en-AU"/>
        </w:rPr>
      </w:pPr>
    </w:p>
    <w:p w:rsidR="002A7C3C" w:rsidRPr="007E3ECA" w:rsidRDefault="007F5982">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spacing w:line="276" w:lineRule="auto"/>
        <w:ind w:right="-431"/>
        <w:rPr>
          <w:szCs w:val="24"/>
          <w:lang w:val="en-AU"/>
        </w:rPr>
      </w:pPr>
      <w:proofErr w:type="spellStart"/>
      <w:r w:rsidRPr="007E3ECA">
        <w:rPr>
          <w:szCs w:val="24"/>
          <w:lang w:val="en-AU"/>
        </w:rPr>
        <w:t>Stanfors</w:t>
      </w:r>
      <w:proofErr w:type="spellEnd"/>
      <w:r w:rsidRPr="007E3ECA">
        <w:rPr>
          <w:szCs w:val="24"/>
          <w:lang w:val="en-AU"/>
        </w:rPr>
        <w:t xml:space="preserve">, M., </w:t>
      </w:r>
      <w:proofErr w:type="spellStart"/>
      <w:r w:rsidRPr="007E3ECA">
        <w:rPr>
          <w:szCs w:val="24"/>
          <w:lang w:val="en-AU"/>
        </w:rPr>
        <w:t>Leunig</w:t>
      </w:r>
      <w:proofErr w:type="spellEnd"/>
      <w:r w:rsidRPr="007E3ECA">
        <w:rPr>
          <w:szCs w:val="24"/>
          <w:lang w:val="en-AU"/>
        </w:rPr>
        <w:t xml:space="preserve">, T., Eriksson, B. and </w:t>
      </w:r>
      <w:proofErr w:type="spellStart"/>
      <w:r w:rsidRPr="007E3ECA">
        <w:rPr>
          <w:szCs w:val="24"/>
          <w:lang w:val="en-AU"/>
        </w:rPr>
        <w:t>Karlsson</w:t>
      </w:r>
      <w:proofErr w:type="spellEnd"/>
      <w:r w:rsidRPr="007E3ECA">
        <w:rPr>
          <w:szCs w:val="24"/>
          <w:lang w:val="en-AU"/>
        </w:rPr>
        <w:t xml:space="preserve"> T. 2013, ‘Gender, productivity and the nature of work and pay: Evidence from the late nineteenth-century tobacco i</w:t>
      </w:r>
      <w:r w:rsidR="00C338F0" w:rsidRPr="007E3ECA">
        <w:rPr>
          <w:szCs w:val="24"/>
          <w:lang w:val="en-AU"/>
        </w:rPr>
        <w:t>ndustry</w:t>
      </w:r>
      <w:r w:rsidRPr="007E3ECA">
        <w:rPr>
          <w:szCs w:val="24"/>
          <w:lang w:val="en-AU"/>
        </w:rPr>
        <w:t>’</w:t>
      </w:r>
      <w:r w:rsidR="00C338F0" w:rsidRPr="007E3ECA">
        <w:rPr>
          <w:szCs w:val="24"/>
          <w:lang w:val="en-AU"/>
        </w:rPr>
        <w:t>,</w:t>
      </w:r>
      <w:r w:rsidRPr="007E3ECA">
        <w:rPr>
          <w:szCs w:val="24"/>
          <w:lang w:val="en-AU"/>
        </w:rPr>
        <w:t xml:space="preserve"> </w:t>
      </w:r>
      <w:r w:rsidRPr="007E3ECA">
        <w:rPr>
          <w:i/>
          <w:szCs w:val="24"/>
          <w:lang w:val="en-AU"/>
        </w:rPr>
        <w:t>Economic History Review</w:t>
      </w:r>
      <w:r w:rsidRPr="007E3ECA">
        <w:rPr>
          <w:szCs w:val="24"/>
          <w:lang w:val="en-AU"/>
        </w:rPr>
        <w:t>, forthcoming.</w:t>
      </w:r>
    </w:p>
    <w:p w:rsidR="00812F06" w:rsidRPr="007E3ECA" w:rsidRDefault="00812F06" w:rsidP="00812F06">
      <w:pPr>
        <w:spacing w:line="276" w:lineRule="auto"/>
        <w:rPr>
          <w:szCs w:val="24"/>
          <w:lang w:val="en-AU"/>
        </w:rPr>
      </w:pPr>
    </w:p>
    <w:p w:rsidR="00812F06" w:rsidRDefault="002A19E4" w:rsidP="00812F06">
      <w:pPr>
        <w:spacing w:line="276" w:lineRule="auto"/>
        <w:rPr>
          <w:rFonts w:cs="Times New Roman"/>
          <w:szCs w:val="24"/>
          <w:lang w:val="en-GB" w:eastAsia="en-GB" w:bidi="ar-SA"/>
        </w:rPr>
      </w:pPr>
      <w:r w:rsidRPr="007E3ECA">
        <w:rPr>
          <w:rFonts w:cs="Times New Roman"/>
          <w:szCs w:val="24"/>
          <w:lang w:val="en-GB" w:eastAsia="en-GB" w:bidi="ar-SA"/>
        </w:rPr>
        <w:t xml:space="preserve">Treble, J., van </w:t>
      </w:r>
      <w:proofErr w:type="spellStart"/>
      <w:r w:rsidRPr="007E3ECA">
        <w:rPr>
          <w:rFonts w:cs="Times New Roman"/>
          <w:szCs w:val="24"/>
          <w:lang w:val="en-GB" w:eastAsia="en-GB" w:bidi="ar-SA"/>
        </w:rPr>
        <w:t>Gameren</w:t>
      </w:r>
      <w:proofErr w:type="spellEnd"/>
      <w:r w:rsidRPr="007E3ECA">
        <w:rPr>
          <w:rFonts w:cs="Times New Roman"/>
          <w:szCs w:val="24"/>
          <w:lang w:val="en-GB" w:eastAsia="en-GB" w:bidi="ar-SA"/>
        </w:rPr>
        <w:t>, E., Bridges, S</w:t>
      </w:r>
      <w:r w:rsidR="00C57E1E" w:rsidRPr="007E3ECA">
        <w:rPr>
          <w:rFonts w:cs="Times New Roman"/>
          <w:szCs w:val="24"/>
          <w:lang w:val="en-GB" w:eastAsia="en-GB" w:bidi="ar-SA"/>
        </w:rPr>
        <w:t>. and</w:t>
      </w:r>
      <w:r w:rsidRPr="007E3ECA">
        <w:rPr>
          <w:rFonts w:cs="Times New Roman"/>
          <w:szCs w:val="24"/>
          <w:lang w:val="en-GB" w:eastAsia="en-GB" w:bidi="ar-SA"/>
        </w:rPr>
        <w:t xml:space="preserve"> </w:t>
      </w:r>
      <w:proofErr w:type="spellStart"/>
      <w:r w:rsidRPr="007E3ECA">
        <w:rPr>
          <w:rFonts w:cs="Times New Roman"/>
          <w:szCs w:val="24"/>
          <w:lang w:val="en-GB" w:eastAsia="en-GB" w:bidi="ar-SA"/>
        </w:rPr>
        <w:t>Barmby</w:t>
      </w:r>
      <w:proofErr w:type="spellEnd"/>
      <w:r w:rsidRPr="007E3ECA">
        <w:rPr>
          <w:rFonts w:cs="Times New Roman"/>
          <w:szCs w:val="24"/>
          <w:lang w:val="en-GB" w:eastAsia="en-GB" w:bidi="ar-SA"/>
        </w:rPr>
        <w:t>, T</w:t>
      </w:r>
      <w:r w:rsidR="00C57E1E" w:rsidRPr="007E3ECA">
        <w:rPr>
          <w:rFonts w:cs="Times New Roman"/>
          <w:szCs w:val="24"/>
          <w:lang w:val="en-GB" w:eastAsia="en-GB" w:bidi="ar-SA"/>
        </w:rPr>
        <w:t>. 2001,</w:t>
      </w:r>
      <w:r w:rsidRPr="007E3ECA" w:rsidDel="002A19E4">
        <w:rPr>
          <w:rFonts w:cs="Times New Roman"/>
          <w:szCs w:val="24"/>
          <w:lang w:val="en-GB" w:eastAsia="en-GB" w:bidi="ar-SA"/>
        </w:rPr>
        <w:t xml:space="preserve"> </w:t>
      </w:r>
      <w:r w:rsidR="00C57E1E" w:rsidRPr="007E3ECA">
        <w:rPr>
          <w:rFonts w:cs="Times New Roman"/>
          <w:szCs w:val="24"/>
          <w:lang w:val="en-GB" w:eastAsia="en-GB" w:bidi="ar-SA"/>
        </w:rPr>
        <w:t>‘</w:t>
      </w:r>
      <w:proofErr w:type="gramStart"/>
      <w:r w:rsidR="00812F06" w:rsidRPr="007E3ECA">
        <w:rPr>
          <w:rFonts w:cs="Times New Roman"/>
          <w:szCs w:val="24"/>
          <w:lang w:val="en-GB" w:eastAsia="en-GB" w:bidi="ar-SA"/>
        </w:rPr>
        <w:t>The</w:t>
      </w:r>
      <w:proofErr w:type="gramEnd"/>
      <w:r w:rsidR="00812F06" w:rsidRPr="007E3ECA">
        <w:rPr>
          <w:rFonts w:cs="Times New Roman"/>
          <w:szCs w:val="24"/>
          <w:lang w:val="en-GB" w:eastAsia="en-GB" w:bidi="ar-SA"/>
        </w:rPr>
        <w:t xml:space="preserve"> internal economics of the firm: further evidence from personnel data</w:t>
      </w:r>
      <w:r w:rsidR="00C57E1E" w:rsidRPr="007E3ECA">
        <w:rPr>
          <w:rFonts w:cs="Times New Roman"/>
          <w:szCs w:val="24"/>
          <w:lang w:val="en-GB" w:eastAsia="en-GB" w:bidi="ar-SA"/>
        </w:rPr>
        <w:t>’</w:t>
      </w:r>
      <w:r w:rsidR="00C57E1E">
        <w:rPr>
          <w:rFonts w:cs="Times New Roman"/>
          <w:szCs w:val="24"/>
          <w:lang w:val="en-GB" w:eastAsia="en-GB" w:bidi="ar-SA"/>
        </w:rPr>
        <w:t>,</w:t>
      </w:r>
      <w:r w:rsidR="00812F06" w:rsidRPr="00DB6EA7">
        <w:rPr>
          <w:rFonts w:cs="Times New Roman"/>
          <w:szCs w:val="24"/>
          <w:lang w:val="en-GB" w:eastAsia="en-GB" w:bidi="ar-SA"/>
        </w:rPr>
        <w:t xml:space="preserve"> </w:t>
      </w:r>
      <w:r w:rsidR="00812F06" w:rsidRPr="00DB6EA7">
        <w:rPr>
          <w:rFonts w:cs="Times New Roman"/>
          <w:i/>
          <w:iCs/>
          <w:szCs w:val="24"/>
          <w:lang w:val="en-GB" w:eastAsia="en-GB" w:bidi="ar-SA"/>
        </w:rPr>
        <w:t>Labour Economics</w:t>
      </w:r>
      <w:r w:rsidR="00C57E1E">
        <w:rPr>
          <w:rFonts w:cs="Times New Roman"/>
          <w:szCs w:val="24"/>
          <w:lang w:val="en-GB" w:eastAsia="en-GB" w:bidi="ar-SA"/>
        </w:rPr>
        <w:t xml:space="preserve">, vol. </w:t>
      </w:r>
      <w:r w:rsidR="00812F06" w:rsidRPr="00DB6EA7">
        <w:rPr>
          <w:rFonts w:cs="Times New Roman"/>
          <w:szCs w:val="24"/>
          <w:lang w:val="en-GB" w:eastAsia="en-GB" w:bidi="ar-SA"/>
        </w:rPr>
        <w:t>8</w:t>
      </w:r>
      <w:r w:rsidR="00C57E1E">
        <w:rPr>
          <w:rFonts w:cs="Times New Roman"/>
          <w:szCs w:val="24"/>
          <w:lang w:val="en-GB" w:eastAsia="en-GB" w:bidi="ar-SA"/>
        </w:rPr>
        <w:t>, pp.</w:t>
      </w:r>
      <w:r w:rsidR="00812F06" w:rsidRPr="00DB6EA7">
        <w:rPr>
          <w:rFonts w:cs="Times New Roman"/>
          <w:szCs w:val="24"/>
          <w:lang w:val="en-GB" w:eastAsia="en-GB" w:bidi="ar-SA"/>
        </w:rPr>
        <w:t xml:space="preserve"> 531-52.</w:t>
      </w:r>
    </w:p>
    <w:p w:rsidR="00812F06" w:rsidRDefault="00812F06" w:rsidP="00812F06">
      <w:pPr>
        <w:spacing w:line="276" w:lineRule="auto"/>
        <w:rPr>
          <w:rFonts w:cs="Times New Roman"/>
          <w:szCs w:val="24"/>
          <w:lang w:val="en-GB" w:eastAsia="en-GB" w:bidi="ar-SA"/>
        </w:rPr>
      </w:pPr>
    </w:p>
    <w:p w:rsidR="00812F06" w:rsidRDefault="00812F06" w:rsidP="00812F06">
      <w:pPr>
        <w:spacing w:line="276" w:lineRule="auto"/>
        <w:rPr>
          <w:rFonts w:cs="Times New Roman"/>
          <w:szCs w:val="24"/>
          <w:lang w:val="en-GB" w:eastAsia="en-GB" w:bidi="ar-SA"/>
        </w:rPr>
      </w:pPr>
      <w:r w:rsidRPr="00476742">
        <w:rPr>
          <w:rFonts w:cs="Times New Roman"/>
          <w:szCs w:val="24"/>
          <w:lang w:val="en-GB" w:eastAsia="en-GB" w:bidi="ar-SA"/>
        </w:rPr>
        <w:lastRenderedPageBreak/>
        <w:t>Waldman, M</w:t>
      </w:r>
      <w:r w:rsidR="00C57E1E">
        <w:rPr>
          <w:rFonts w:cs="Times New Roman"/>
          <w:szCs w:val="24"/>
          <w:lang w:val="en-GB" w:eastAsia="en-GB" w:bidi="ar-SA"/>
        </w:rPr>
        <w:t>. 2012</w:t>
      </w:r>
      <w:r w:rsidRPr="00476742">
        <w:rPr>
          <w:rFonts w:cs="Times New Roman"/>
          <w:szCs w:val="24"/>
          <w:lang w:val="en-GB" w:eastAsia="en-GB" w:bidi="ar-SA"/>
        </w:rPr>
        <w:t xml:space="preserve"> </w:t>
      </w:r>
      <w:r w:rsidR="00C57E1E">
        <w:rPr>
          <w:rFonts w:cs="Times New Roman"/>
          <w:szCs w:val="24"/>
          <w:lang w:val="en-GB" w:eastAsia="en-GB" w:bidi="ar-SA"/>
        </w:rPr>
        <w:t>‘</w:t>
      </w:r>
      <w:r w:rsidRPr="00476742">
        <w:rPr>
          <w:rFonts w:cs="Times New Roman"/>
          <w:szCs w:val="24"/>
          <w:lang w:val="en-GB" w:eastAsia="en-GB" w:bidi="ar-SA"/>
        </w:rPr>
        <w:t xml:space="preserve">Theory and </w:t>
      </w:r>
      <w:r w:rsidR="00C57E1E">
        <w:rPr>
          <w:rFonts w:cs="Times New Roman"/>
          <w:szCs w:val="24"/>
          <w:lang w:val="en-GB" w:eastAsia="en-GB" w:bidi="ar-SA"/>
        </w:rPr>
        <w:t>e</w:t>
      </w:r>
      <w:r w:rsidRPr="00476742">
        <w:rPr>
          <w:rFonts w:cs="Times New Roman"/>
          <w:szCs w:val="24"/>
          <w:lang w:val="en-GB" w:eastAsia="en-GB" w:bidi="ar-SA"/>
        </w:rPr>
        <w:t xml:space="preserve">vidence in </w:t>
      </w:r>
      <w:r w:rsidR="00C57E1E">
        <w:rPr>
          <w:rFonts w:cs="Times New Roman"/>
          <w:szCs w:val="24"/>
          <w:lang w:val="en-GB" w:eastAsia="en-GB" w:bidi="ar-SA"/>
        </w:rPr>
        <w:t>i</w:t>
      </w:r>
      <w:r w:rsidRPr="00476742">
        <w:rPr>
          <w:rFonts w:cs="Times New Roman"/>
          <w:szCs w:val="24"/>
          <w:lang w:val="en-GB" w:eastAsia="en-GB" w:bidi="ar-SA"/>
        </w:rPr>
        <w:t xml:space="preserve">nternal </w:t>
      </w:r>
      <w:proofErr w:type="spellStart"/>
      <w:r w:rsidR="00C57E1E">
        <w:rPr>
          <w:rFonts w:cs="Times New Roman"/>
          <w:szCs w:val="24"/>
          <w:lang w:val="en-GB" w:eastAsia="en-GB" w:bidi="ar-SA"/>
        </w:rPr>
        <w:t>l</w:t>
      </w:r>
      <w:r w:rsidRPr="00476742">
        <w:rPr>
          <w:rFonts w:cs="Times New Roman"/>
          <w:szCs w:val="24"/>
          <w:lang w:val="en-GB" w:eastAsia="en-GB" w:bidi="ar-SA"/>
        </w:rPr>
        <w:t>abor</w:t>
      </w:r>
      <w:proofErr w:type="spellEnd"/>
      <w:r w:rsidRPr="00476742">
        <w:rPr>
          <w:rFonts w:cs="Times New Roman"/>
          <w:szCs w:val="24"/>
          <w:lang w:val="en-GB" w:eastAsia="en-GB" w:bidi="ar-SA"/>
        </w:rPr>
        <w:t xml:space="preserve"> </w:t>
      </w:r>
      <w:r w:rsidR="00C57E1E">
        <w:rPr>
          <w:rFonts w:cs="Times New Roman"/>
          <w:szCs w:val="24"/>
          <w:lang w:val="en-GB" w:eastAsia="en-GB" w:bidi="ar-SA"/>
        </w:rPr>
        <w:t>m</w:t>
      </w:r>
      <w:r w:rsidRPr="00476742">
        <w:rPr>
          <w:rFonts w:cs="Times New Roman"/>
          <w:szCs w:val="24"/>
          <w:lang w:val="en-GB" w:eastAsia="en-GB" w:bidi="ar-SA"/>
        </w:rPr>
        <w:t>arkets</w:t>
      </w:r>
      <w:r w:rsidR="00C57E1E">
        <w:rPr>
          <w:rFonts w:cs="Times New Roman"/>
          <w:szCs w:val="24"/>
          <w:lang w:val="en-GB" w:eastAsia="en-GB" w:bidi="ar-SA"/>
        </w:rPr>
        <w:t>’</w:t>
      </w:r>
      <w:r w:rsidRPr="00476742">
        <w:rPr>
          <w:rFonts w:cs="Times New Roman"/>
          <w:szCs w:val="24"/>
          <w:lang w:val="en-GB" w:eastAsia="en-GB" w:bidi="ar-SA"/>
        </w:rPr>
        <w:t xml:space="preserve">, in </w:t>
      </w:r>
      <w:r w:rsidRPr="00476742">
        <w:rPr>
          <w:rFonts w:cs="Times New Roman"/>
          <w:i/>
          <w:szCs w:val="24"/>
          <w:lang w:val="en-GB" w:eastAsia="en-GB" w:bidi="ar-SA"/>
        </w:rPr>
        <w:t>The Handbook of Organizational Economics</w:t>
      </w:r>
      <w:r w:rsidRPr="00476742">
        <w:rPr>
          <w:rFonts w:cs="Times New Roman"/>
          <w:szCs w:val="24"/>
          <w:lang w:val="en-GB" w:eastAsia="en-GB" w:bidi="ar-SA"/>
        </w:rPr>
        <w:t xml:space="preserve">, </w:t>
      </w:r>
      <w:r w:rsidR="00C57E1E" w:rsidRPr="00476742">
        <w:rPr>
          <w:rFonts w:cs="Times New Roman"/>
          <w:szCs w:val="24"/>
          <w:lang w:val="en-GB" w:eastAsia="en-GB" w:bidi="ar-SA"/>
        </w:rPr>
        <w:t>R. Gibbons and J. Roberts</w:t>
      </w:r>
      <w:r w:rsidR="00C57E1E">
        <w:rPr>
          <w:rFonts w:cs="Times New Roman"/>
          <w:szCs w:val="24"/>
          <w:lang w:val="en-GB" w:eastAsia="en-GB" w:bidi="ar-SA"/>
        </w:rPr>
        <w:t>,</w:t>
      </w:r>
      <w:r w:rsidR="00C57E1E" w:rsidRPr="00476742">
        <w:rPr>
          <w:rFonts w:cs="Times New Roman"/>
          <w:szCs w:val="24"/>
          <w:lang w:val="en-GB" w:eastAsia="en-GB" w:bidi="ar-SA"/>
        </w:rPr>
        <w:t xml:space="preserve"> </w:t>
      </w:r>
      <w:proofErr w:type="spellStart"/>
      <w:r w:rsidR="00C57E1E" w:rsidRPr="00476742">
        <w:rPr>
          <w:rFonts w:cs="Times New Roman"/>
          <w:szCs w:val="24"/>
          <w:lang w:val="en-GB" w:eastAsia="en-GB" w:bidi="ar-SA"/>
        </w:rPr>
        <w:t>eds</w:t>
      </w:r>
      <w:proofErr w:type="spellEnd"/>
      <w:r w:rsidR="00C57E1E" w:rsidRPr="00476742">
        <w:rPr>
          <w:rFonts w:cs="Times New Roman"/>
          <w:szCs w:val="24"/>
          <w:lang w:val="en-GB" w:eastAsia="en-GB" w:bidi="ar-SA"/>
        </w:rPr>
        <w:t xml:space="preserve">, </w:t>
      </w:r>
      <w:r w:rsidRPr="00476742">
        <w:rPr>
          <w:rFonts w:cs="Times New Roman"/>
          <w:szCs w:val="24"/>
          <w:lang w:val="en-GB" w:eastAsia="en-GB" w:bidi="ar-SA"/>
        </w:rPr>
        <w:t>Princeton University Press</w:t>
      </w:r>
      <w:r>
        <w:rPr>
          <w:rFonts w:cs="Times New Roman"/>
          <w:szCs w:val="24"/>
          <w:lang w:val="en-GB" w:eastAsia="en-GB" w:bidi="ar-SA"/>
        </w:rPr>
        <w:t xml:space="preserve">, </w:t>
      </w:r>
      <w:r w:rsidR="00C57E1E">
        <w:rPr>
          <w:rFonts w:cs="Times New Roman"/>
          <w:szCs w:val="24"/>
          <w:lang w:val="en-GB" w:eastAsia="en-GB" w:bidi="ar-SA"/>
        </w:rPr>
        <w:t>Princeton</w:t>
      </w:r>
      <w:r w:rsidRPr="00476742">
        <w:rPr>
          <w:rFonts w:cs="Times New Roman"/>
          <w:szCs w:val="24"/>
          <w:lang w:val="en-GB" w:eastAsia="en-GB" w:bidi="ar-SA"/>
        </w:rPr>
        <w:t>.</w:t>
      </w:r>
    </w:p>
    <w:p w:rsidR="00812F06" w:rsidRDefault="00812F06" w:rsidP="00812F06">
      <w:pPr>
        <w:spacing w:line="276" w:lineRule="auto"/>
        <w:rPr>
          <w:rFonts w:cs="Times New Roman"/>
          <w:szCs w:val="24"/>
          <w:lang w:val="en-GB" w:eastAsia="en-GB" w:bidi="ar-SA"/>
        </w:rPr>
      </w:pPr>
    </w:p>
    <w:p w:rsidR="00812F06" w:rsidRPr="00DB6EA7" w:rsidRDefault="00812F06" w:rsidP="00812F06">
      <w:pPr>
        <w:spacing w:line="276" w:lineRule="auto"/>
        <w:rPr>
          <w:rFonts w:cs="Times New Roman"/>
          <w:szCs w:val="24"/>
          <w:lang w:val="en-GB" w:eastAsia="en-GB" w:bidi="ar-SA"/>
        </w:rPr>
      </w:pPr>
      <w:r>
        <w:rPr>
          <w:rFonts w:cs="Times New Roman"/>
          <w:szCs w:val="24"/>
          <w:lang w:val="en-GB" w:eastAsia="en-GB" w:bidi="ar-SA"/>
        </w:rPr>
        <w:t>Woodcock, S</w:t>
      </w:r>
      <w:r w:rsidR="00C57E1E">
        <w:rPr>
          <w:rFonts w:cs="Times New Roman"/>
          <w:szCs w:val="24"/>
          <w:lang w:val="en-GB" w:eastAsia="en-GB" w:bidi="ar-SA"/>
        </w:rPr>
        <w:t>.</w:t>
      </w:r>
      <w:r>
        <w:rPr>
          <w:rFonts w:cs="Times New Roman"/>
          <w:szCs w:val="24"/>
          <w:lang w:val="en-GB" w:eastAsia="en-GB" w:bidi="ar-SA"/>
        </w:rPr>
        <w:t xml:space="preserve"> 2007, </w:t>
      </w:r>
      <w:r w:rsidR="00C57E1E">
        <w:rPr>
          <w:rFonts w:cs="Times New Roman"/>
          <w:szCs w:val="24"/>
          <w:lang w:val="en-GB" w:eastAsia="en-GB" w:bidi="ar-SA"/>
        </w:rPr>
        <w:t>‘</w:t>
      </w:r>
      <w:r>
        <w:rPr>
          <w:rFonts w:cs="Times New Roman"/>
          <w:szCs w:val="24"/>
          <w:lang w:val="en-GB" w:eastAsia="en-GB" w:bidi="ar-SA"/>
        </w:rPr>
        <w:t xml:space="preserve">Match </w:t>
      </w:r>
      <w:r w:rsidR="00C57E1E">
        <w:rPr>
          <w:rFonts w:cs="Times New Roman"/>
          <w:szCs w:val="24"/>
          <w:lang w:val="en-GB" w:eastAsia="en-GB" w:bidi="ar-SA"/>
        </w:rPr>
        <w:t>e</w:t>
      </w:r>
      <w:r>
        <w:rPr>
          <w:rFonts w:cs="Times New Roman"/>
          <w:szCs w:val="24"/>
          <w:lang w:val="en-GB" w:eastAsia="en-GB" w:bidi="ar-SA"/>
        </w:rPr>
        <w:t>ffects</w:t>
      </w:r>
      <w:r w:rsidR="00C57E1E">
        <w:rPr>
          <w:rFonts w:cs="Times New Roman"/>
          <w:szCs w:val="24"/>
          <w:lang w:val="en-GB" w:eastAsia="en-GB" w:bidi="ar-SA"/>
        </w:rPr>
        <w:t>’</w:t>
      </w:r>
      <w:r>
        <w:rPr>
          <w:rFonts w:cs="Times New Roman"/>
          <w:szCs w:val="24"/>
          <w:lang w:val="en-GB" w:eastAsia="en-GB" w:bidi="ar-SA"/>
        </w:rPr>
        <w:t xml:space="preserve">, </w:t>
      </w:r>
      <w:r w:rsidR="00C8448E" w:rsidRPr="00C8448E">
        <w:rPr>
          <w:rFonts w:cs="Times New Roman"/>
          <w:szCs w:val="24"/>
          <w:lang w:val="en-GB" w:eastAsia="en-GB" w:bidi="ar-SA"/>
        </w:rPr>
        <w:t>Working Paper, Simon Fraser University</w:t>
      </w:r>
    </w:p>
    <w:p w:rsidR="00DB6EA7" w:rsidRPr="000F2880" w:rsidRDefault="00DB6EA7" w:rsidP="005A5089">
      <w:pPr>
        <w:spacing w:line="276" w:lineRule="auto"/>
        <w:rPr>
          <w:lang w:val="en-AU"/>
        </w:rPr>
      </w:pPr>
    </w:p>
    <w:sectPr w:rsidR="00DB6EA7" w:rsidRPr="000F2880" w:rsidSect="00EF52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0B" w:rsidRDefault="00714C0B" w:rsidP="00D824A8">
      <w:r>
        <w:separator/>
      </w:r>
    </w:p>
  </w:endnote>
  <w:endnote w:type="continuationSeparator" w:id="0">
    <w:p w:rsidR="00714C0B" w:rsidRDefault="00714C0B" w:rsidP="00D8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0B" w:rsidRDefault="00714C0B" w:rsidP="00D824A8">
      <w:r>
        <w:separator/>
      </w:r>
    </w:p>
  </w:footnote>
  <w:footnote w:type="continuationSeparator" w:id="0">
    <w:p w:rsidR="00714C0B" w:rsidRDefault="00714C0B" w:rsidP="00D824A8">
      <w:r>
        <w:continuationSeparator/>
      </w:r>
    </w:p>
  </w:footnote>
  <w:footnote w:id="1">
    <w:p w:rsidR="00AA6351" w:rsidRPr="002D6D48" w:rsidRDefault="00AA6351" w:rsidP="00CA1FEA">
      <w:pPr>
        <w:pStyle w:val="FootnoteText"/>
        <w:rPr>
          <w:lang w:val="en-GB"/>
        </w:rPr>
      </w:pPr>
      <w:r>
        <w:rPr>
          <w:rStyle w:val="FootnoteReference"/>
        </w:rPr>
        <w:footnoteRef/>
      </w:r>
      <w:r>
        <w:t xml:space="preserve"> </w:t>
      </w:r>
      <w:r>
        <w:rPr>
          <w:lang w:val="en-GB"/>
        </w:rPr>
        <w:t>Attempts to introduce additional unobserved heterogeneity at the match level include Woodcock (200</w:t>
      </w:r>
      <w:r w:rsidR="00790718">
        <w:rPr>
          <w:lang w:val="en-GB"/>
        </w:rPr>
        <w:t>7</w:t>
      </w:r>
      <w:r>
        <w:rPr>
          <w:lang w:val="en-GB"/>
        </w:rPr>
        <w:t xml:space="preserve">). Bagger, Christensen and Mortensen (2013) allow for time-varying </w:t>
      </w:r>
      <w:r w:rsidR="00BC3409">
        <w:rPr>
          <w:lang w:val="en-GB"/>
        </w:rPr>
        <w:t xml:space="preserve">unobserved </w:t>
      </w:r>
      <w:r>
        <w:rPr>
          <w:lang w:val="en-GB"/>
        </w:rPr>
        <w:t>firm effects.</w:t>
      </w:r>
    </w:p>
  </w:footnote>
  <w:footnote w:id="2">
    <w:p w:rsidR="00AA6351" w:rsidRPr="00C03372" w:rsidRDefault="00AA6351" w:rsidP="001553F2">
      <w:pPr>
        <w:pStyle w:val="FootnoteText"/>
        <w:rPr>
          <w:lang w:val="en-GB"/>
        </w:rPr>
      </w:pPr>
      <w:r>
        <w:rPr>
          <w:rStyle w:val="FootnoteReference"/>
        </w:rPr>
        <w:footnoteRef/>
      </w:r>
      <w:r>
        <w:t xml:space="preserve"> Classical scholars have used a variety of papyrus manuscripts and secondary sources to describe internal </w:t>
      </w:r>
      <w:proofErr w:type="spellStart"/>
      <w:r>
        <w:t>labour</w:t>
      </w:r>
      <w:proofErr w:type="spellEnd"/>
      <w:r>
        <w:t xml:space="preserve"> markets in the Roman army</w:t>
      </w:r>
      <w:r w:rsidR="00F95AB2">
        <w:t>. See</w:t>
      </w:r>
      <w:r>
        <w:t xml:space="preserve"> Brunt </w:t>
      </w:r>
      <w:r w:rsidR="00F95AB2">
        <w:t>(</w:t>
      </w:r>
      <w:r>
        <w:t xml:space="preserve">1950). </w:t>
      </w:r>
    </w:p>
  </w:footnote>
  <w:footnote w:id="3">
    <w:p w:rsidR="00AA6351" w:rsidRPr="005E76EB" w:rsidRDefault="00AA6351">
      <w:pPr>
        <w:pStyle w:val="FootnoteText"/>
        <w:rPr>
          <w:lang w:val="en-GB"/>
        </w:rPr>
      </w:pPr>
      <w:r>
        <w:rPr>
          <w:rStyle w:val="FootnoteReference"/>
        </w:rPr>
        <w:footnoteRef/>
      </w:r>
      <w:r>
        <w:t xml:space="preserve"> </w:t>
      </w:r>
      <w:proofErr w:type="spellStart"/>
      <w:r>
        <w:rPr>
          <w:lang w:val="en-AU"/>
        </w:rPr>
        <w:t>Rei</w:t>
      </w:r>
      <w:proofErr w:type="spellEnd"/>
      <w:r>
        <w:rPr>
          <w:lang w:val="en-AU"/>
        </w:rPr>
        <w:t xml:space="preserve"> (2014) examines administrative records describing the entire careers of 115 servants of the Dutch East India Company in the 18</w:t>
      </w:r>
      <w:r w:rsidRPr="00903020">
        <w:rPr>
          <w:vertAlign w:val="superscript"/>
          <w:lang w:val="en-AU"/>
        </w:rPr>
        <w:t>th</w:t>
      </w:r>
      <w:r>
        <w:rPr>
          <w:lang w:val="en-AU"/>
        </w:rPr>
        <w:t xml:space="preserve"> century. </w:t>
      </w:r>
    </w:p>
  </w:footnote>
  <w:footnote w:id="4">
    <w:p w:rsidR="00AA6351" w:rsidRPr="00D724C5" w:rsidRDefault="00AA6351" w:rsidP="001553F2">
      <w:pPr>
        <w:pStyle w:val="FootnoteText"/>
        <w:rPr>
          <w:lang w:val="en-GB"/>
        </w:rPr>
      </w:pPr>
      <w:r>
        <w:rPr>
          <w:rStyle w:val="FootnoteReference"/>
        </w:rPr>
        <w:footnoteRef/>
      </w:r>
      <w:r>
        <w:t xml:space="preserve"> </w:t>
      </w:r>
      <w:proofErr w:type="spellStart"/>
      <w:proofErr w:type="gramStart"/>
      <w:r>
        <w:rPr>
          <w:lang w:val="en-GB"/>
        </w:rPr>
        <w:t>Howlett</w:t>
      </w:r>
      <w:proofErr w:type="spellEnd"/>
      <w:r>
        <w:rPr>
          <w:lang w:val="en-GB"/>
        </w:rPr>
        <w:t xml:space="preserve"> (2004) notes that all of the 10 largest firms in Britain in 1904 were railroads.</w:t>
      </w:r>
      <w:proofErr w:type="gramEnd"/>
      <w:r>
        <w:rPr>
          <w:lang w:val="en-GB"/>
        </w:rPr>
        <w:t xml:space="preserve"> </w:t>
      </w:r>
      <w:proofErr w:type="gramStart"/>
      <w:r>
        <w:rPr>
          <w:lang w:val="en-GB"/>
        </w:rPr>
        <w:t xml:space="preserve">Similarly, Sammartino (2002) notes that the Victorian Railways </w:t>
      </w:r>
      <w:r>
        <w:t>employed substantially more people than any manufacturing industry or government department in the colony.</w:t>
      </w:r>
      <w:proofErr w:type="gramEnd"/>
      <w:r>
        <w:t xml:space="preserve"> MacKinnon (1996) notes that in Canada around the First World War, railroads employed about 10 percent of men working outside of agriculture.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26B"/>
    <w:multiLevelType w:val="hybridMultilevel"/>
    <w:tmpl w:val="A0485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D495A"/>
    <w:multiLevelType w:val="hybridMultilevel"/>
    <w:tmpl w:val="6248F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57D79"/>
    <w:multiLevelType w:val="hybridMultilevel"/>
    <w:tmpl w:val="161A3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024690"/>
    <w:multiLevelType w:val="hybridMultilevel"/>
    <w:tmpl w:val="7710091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8964686"/>
    <w:multiLevelType w:val="hybridMultilevel"/>
    <w:tmpl w:val="5E96005C"/>
    <w:lvl w:ilvl="0" w:tplc="6D6A03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8D7068"/>
    <w:multiLevelType w:val="hybridMultilevel"/>
    <w:tmpl w:val="69A8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2F4DAA"/>
    <w:multiLevelType w:val="hybridMultilevel"/>
    <w:tmpl w:val="4FCC9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383B11"/>
    <w:multiLevelType w:val="hybridMultilevel"/>
    <w:tmpl w:val="769CA26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6EF86FD6"/>
    <w:multiLevelType w:val="hybridMultilevel"/>
    <w:tmpl w:val="F3547D7E"/>
    <w:lvl w:ilvl="0" w:tplc="AE266C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8"/>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652C"/>
    <w:rsid w:val="00007905"/>
    <w:rsid w:val="00007B72"/>
    <w:rsid w:val="00025E27"/>
    <w:rsid w:val="00026CBC"/>
    <w:rsid w:val="000371D3"/>
    <w:rsid w:val="00040412"/>
    <w:rsid w:val="00041AD6"/>
    <w:rsid w:val="00056712"/>
    <w:rsid w:val="00056FA3"/>
    <w:rsid w:val="00057CF9"/>
    <w:rsid w:val="00060258"/>
    <w:rsid w:val="0006441E"/>
    <w:rsid w:val="000660FC"/>
    <w:rsid w:val="00070370"/>
    <w:rsid w:val="000735E8"/>
    <w:rsid w:val="00086366"/>
    <w:rsid w:val="0008651B"/>
    <w:rsid w:val="00097D18"/>
    <w:rsid w:val="000A7827"/>
    <w:rsid w:val="000B2756"/>
    <w:rsid w:val="000C3986"/>
    <w:rsid w:val="000C441C"/>
    <w:rsid w:val="000D1650"/>
    <w:rsid w:val="000D591E"/>
    <w:rsid w:val="000D6977"/>
    <w:rsid w:val="000E2B92"/>
    <w:rsid w:val="000E7FE9"/>
    <w:rsid w:val="000F2880"/>
    <w:rsid w:val="000F62B7"/>
    <w:rsid w:val="000F7C90"/>
    <w:rsid w:val="00107F12"/>
    <w:rsid w:val="00112508"/>
    <w:rsid w:val="00115271"/>
    <w:rsid w:val="00117A0C"/>
    <w:rsid w:val="00126AC1"/>
    <w:rsid w:val="00131957"/>
    <w:rsid w:val="001338EA"/>
    <w:rsid w:val="00135538"/>
    <w:rsid w:val="00140C62"/>
    <w:rsid w:val="00145319"/>
    <w:rsid w:val="001553F2"/>
    <w:rsid w:val="001576BE"/>
    <w:rsid w:val="001646A2"/>
    <w:rsid w:val="00166F5A"/>
    <w:rsid w:val="001814AF"/>
    <w:rsid w:val="001821A1"/>
    <w:rsid w:val="00185C19"/>
    <w:rsid w:val="001A3F2C"/>
    <w:rsid w:val="001A4BBD"/>
    <w:rsid w:val="001B2B36"/>
    <w:rsid w:val="001B329E"/>
    <w:rsid w:val="001B6AAD"/>
    <w:rsid w:val="001B7E68"/>
    <w:rsid w:val="001D2DFC"/>
    <w:rsid w:val="001D3D2E"/>
    <w:rsid w:val="001E23DC"/>
    <w:rsid w:val="001E2ACF"/>
    <w:rsid w:val="001E344D"/>
    <w:rsid w:val="001E43C2"/>
    <w:rsid w:val="001E6915"/>
    <w:rsid w:val="001F328F"/>
    <w:rsid w:val="00200086"/>
    <w:rsid w:val="00205035"/>
    <w:rsid w:val="00205C1D"/>
    <w:rsid w:val="00205FA6"/>
    <w:rsid w:val="0020635B"/>
    <w:rsid w:val="00211E13"/>
    <w:rsid w:val="00226D11"/>
    <w:rsid w:val="00232A82"/>
    <w:rsid w:val="00232E5F"/>
    <w:rsid w:val="002349E5"/>
    <w:rsid w:val="002407C8"/>
    <w:rsid w:val="00244813"/>
    <w:rsid w:val="00244970"/>
    <w:rsid w:val="0024631D"/>
    <w:rsid w:val="00257A07"/>
    <w:rsid w:val="002602F4"/>
    <w:rsid w:val="00263779"/>
    <w:rsid w:val="00271A5D"/>
    <w:rsid w:val="002726F3"/>
    <w:rsid w:val="0027422A"/>
    <w:rsid w:val="00284FCC"/>
    <w:rsid w:val="00285D54"/>
    <w:rsid w:val="00295B65"/>
    <w:rsid w:val="002A19E4"/>
    <w:rsid w:val="002A5B2C"/>
    <w:rsid w:val="002A7C3C"/>
    <w:rsid w:val="002B1257"/>
    <w:rsid w:val="002B556A"/>
    <w:rsid w:val="002C11FC"/>
    <w:rsid w:val="002C32DC"/>
    <w:rsid w:val="002C7423"/>
    <w:rsid w:val="002D19B5"/>
    <w:rsid w:val="002D6696"/>
    <w:rsid w:val="002D6D48"/>
    <w:rsid w:val="002D73AE"/>
    <w:rsid w:val="002E2A69"/>
    <w:rsid w:val="002E2CA9"/>
    <w:rsid w:val="00310424"/>
    <w:rsid w:val="003114C2"/>
    <w:rsid w:val="0031342A"/>
    <w:rsid w:val="0031554C"/>
    <w:rsid w:val="00321E14"/>
    <w:rsid w:val="00327D32"/>
    <w:rsid w:val="003307FF"/>
    <w:rsid w:val="0033137A"/>
    <w:rsid w:val="00331F5A"/>
    <w:rsid w:val="0034474E"/>
    <w:rsid w:val="00356048"/>
    <w:rsid w:val="00362B5A"/>
    <w:rsid w:val="0036715B"/>
    <w:rsid w:val="003855D4"/>
    <w:rsid w:val="00387D19"/>
    <w:rsid w:val="00387D8C"/>
    <w:rsid w:val="00391BC9"/>
    <w:rsid w:val="003957AE"/>
    <w:rsid w:val="00397F1B"/>
    <w:rsid w:val="003A1CC7"/>
    <w:rsid w:val="003A1F93"/>
    <w:rsid w:val="003A2363"/>
    <w:rsid w:val="003A683F"/>
    <w:rsid w:val="003A6AE1"/>
    <w:rsid w:val="003C0C54"/>
    <w:rsid w:val="003C3518"/>
    <w:rsid w:val="003E034D"/>
    <w:rsid w:val="003E32E4"/>
    <w:rsid w:val="003E5895"/>
    <w:rsid w:val="003E76B5"/>
    <w:rsid w:val="00403A11"/>
    <w:rsid w:val="00411932"/>
    <w:rsid w:val="00417888"/>
    <w:rsid w:val="0042311D"/>
    <w:rsid w:val="00434B29"/>
    <w:rsid w:val="00441194"/>
    <w:rsid w:val="0044429C"/>
    <w:rsid w:val="00446394"/>
    <w:rsid w:val="0045043D"/>
    <w:rsid w:val="00451C4F"/>
    <w:rsid w:val="00465A08"/>
    <w:rsid w:val="00467E7D"/>
    <w:rsid w:val="0047001A"/>
    <w:rsid w:val="00476742"/>
    <w:rsid w:val="00482BB7"/>
    <w:rsid w:val="00484371"/>
    <w:rsid w:val="00486A7C"/>
    <w:rsid w:val="0049091C"/>
    <w:rsid w:val="00494436"/>
    <w:rsid w:val="004978D0"/>
    <w:rsid w:val="004A495B"/>
    <w:rsid w:val="004A6429"/>
    <w:rsid w:val="004A7A3F"/>
    <w:rsid w:val="004B5C86"/>
    <w:rsid w:val="004B7708"/>
    <w:rsid w:val="004C1956"/>
    <w:rsid w:val="004C3D2B"/>
    <w:rsid w:val="004C6457"/>
    <w:rsid w:val="004D0DA6"/>
    <w:rsid w:val="004D1A02"/>
    <w:rsid w:val="004D306D"/>
    <w:rsid w:val="004D66E8"/>
    <w:rsid w:val="004D691D"/>
    <w:rsid w:val="004E1AF2"/>
    <w:rsid w:val="004E3989"/>
    <w:rsid w:val="004E6915"/>
    <w:rsid w:val="004F0BBB"/>
    <w:rsid w:val="004F49D3"/>
    <w:rsid w:val="004F4F01"/>
    <w:rsid w:val="0052706A"/>
    <w:rsid w:val="00533E83"/>
    <w:rsid w:val="00542882"/>
    <w:rsid w:val="00542D4C"/>
    <w:rsid w:val="00547C76"/>
    <w:rsid w:val="00550EF6"/>
    <w:rsid w:val="00552E21"/>
    <w:rsid w:val="005563AB"/>
    <w:rsid w:val="00562D45"/>
    <w:rsid w:val="00587A3B"/>
    <w:rsid w:val="005931D9"/>
    <w:rsid w:val="00593BB9"/>
    <w:rsid w:val="00594333"/>
    <w:rsid w:val="005A1A39"/>
    <w:rsid w:val="005A5042"/>
    <w:rsid w:val="005A5089"/>
    <w:rsid w:val="005B19FF"/>
    <w:rsid w:val="005B1B06"/>
    <w:rsid w:val="005B4650"/>
    <w:rsid w:val="005B4DC0"/>
    <w:rsid w:val="005C7A99"/>
    <w:rsid w:val="005D48DE"/>
    <w:rsid w:val="005D4FDA"/>
    <w:rsid w:val="005E16BF"/>
    <w:rsid w:val="005E63F6"/>
    <w:rsid w:val="005E6518"/>
    <w:rsid w:val="005E76EB"/>
    <w:rsid w:val="005F1918"/>
    <w:rsid w:val="005F2C8B"/>
    <w:rsid w:val="00610320"/>
    <w:rsid w:val="00610FBD"/>
    <w:rsid w:val="00611BAD"/>
    <w:rsid w:val="00612FAD"/>
    <w:rsid w:val="00614047"/>
    <w:rsid w:val="00622820"/>
    <w:rsid w:val="00631D0D"/>
    <w:rsid w:val="00641725"/>
    <w:rsid w:val="00651375"/>
    <w:rsid w:val="006561FC"/>
    <w:rsid w:val="00656DBF"/>
    <w:rsid w:val="00663BBF"/>
    <w:rsid w:val="00667F13"/>
    <w:rsid w:val="00673862"/>
    <w:rsid w:val="00676C83"/>
    <w:rsid w:val="006772C8"/>
    <w:rsid w:val="006839DE"/>
    <w:rsid w:val="00683EA3"/>
    <w:rsid w:val="00684D27"/>
    <w:rsid w:val="00690C10"/>
    <w:rsid w:val="00696AE5"/>
    <w:rsid w:val="006A3956"/>
    <w:rsid w:val="006B76AE"/>
    <w:rsid w:val="006C4188"/>
    <w:rsid w:val="006C6614"/>
    <w:rsid w:val="006D0C01"/>
    <w:rsid w:val="006D4337"/>
    <w:rsid w:val="006D7CB9"/>
    <w:rsid w:val="006E73B1"/>
    <w:rsid w:val="006E7D67"/>
    <w:rsid w:val="006F198F"/>
    <w:rsid w:val="006F708F"/>
    <w:rsid w:val="006F7F88"/>
    <w:rsid w:val="00700947"/>
    <w:rsid w:val="00701D75"/>
    <w:rsid w:val="007042B6"/>
    <w:rsid w:val="00705A14"/>
    <w:rsid w:val="007072EB"/>
    <w:rsid w:val="00711BAA"/>
    <w:rsid w:val="00712615"/>
    <w:rsid w:val="00714C0B"/>
    <w:rsid w:val="007227E0"/>
    <w:rsid w:val="007305E5"/>
    <w:rsid w:val="00730C90"/>
    <w:rsid w:val="00732514"/>
    <w:rsid w:val="00732530"/>
    <w:rsid w:val="00737D7B"/>
    <w:rsid w:val="00740F9B"/>
    <w:rsid w:val="00741CAD"/>
    <w:rsid w:val="00744660"/>
    <w:rsid w:val="0074716E"/>
    <w:rsid w:val="00751324"/>
    <w:rsid w:val="00757222"/>
    <w:rsid w:val="007647FE"/>
    <w:rsid w:val="00772820"/>
    <w:rsid w:val="0077290D"/>
    <w:rsid w:val="007774C1"/>
    <w:rsid w:val="007775AE"/>
    <w:rsid w:val="0078749A"/>
    <w:rsid w:val="00790718"/>
    <w:rsid w:val="00790C68"/>
    <w:rsid w:val="007935D1"/>
    <w:rsid w:val="007959C1"/>
    <w:rsid w:val="007970B3"/>
    <w:rsid w:val="007A0000"/>
    <w:rsid w:val="007B6E3C"/>
    <w:rsid w:val="007C2670"/>
    <w:rsid w:val="007C5D09"/>
    <w:rsid w:val="007D3C2E"/>
    <w:rsid w:val="007E36F4"/>
    <w:rsid w:val="007E3ECA"/>
    <w:rsid w:val="007E5C93"/>
    <w:rsid w:val="007F5982"/>
    <w:rsid w:val="007F5CF3"/>
    <w:rsid w:val="007F6F3C"/>
    <w:rsid w:val="00800CAD"/>
    <w:rsid w:val="008119B0"/>
    <w:rsid w:val="00812F06"/>
    <w:rsid w:val="00814449"/>
    <w:rsid w:val="00820BAA"/>
    <w:rsid w:val="00826F75"/>
    <w:rsid w:val="00830E22"/>
    <w:rsid w:val="008327BB"/>
    <w:rsid w:val="00833645"/>
    <w:rsid w:val="00835DED"/>
    <w:rsid w:val="00837603"/>
    <w:rsid w:val="0084236D"/>
    <w:rsid w:val="00842A2B"/>
    <w:rsid w:val="00842EA0"/>
    <w:rsid w:val="00845A8C"/>
    <w:rsid w:val="00846920"/>
    <w:rsid w:val="00846FA1"/>
    <w:rsid w:val="00852861"/>
    <w:rsid w:val="0085650E"/>
    <w:rsid w:val="008571AA"/>
    <w:rsid w:val="00861EFB"/>
    <w:rsid w:val="00862A3A"/>
    <w:rsid w:val="00863587"/>
    <w:rsid w:val="00863C29"/>
    <w:rsid w:val="0087444E"/>
    <w:rsid w:val="00874875"/>
    <w:rsid w:val="008766F7"/>
    <w:rsid w:val="008769BB"/>
    <w:rsid w:val="00881FC7"/>
    <w:rsid w:val="0088390D"/>
    <w:rsid w:val="00890B5B"/>
    <w:rsid w:val="00890DCE"/>
    <w:rsid w:val="00895730"/>
    <w:rsid w:val="00895A9D"/>
    <w:rsid w:val="00896676"/>
    <w:rsid w:val="0089744D"/>
    <w:rsid w:val="008A7AA6"/>
    <w:rsid w:val="008B1AAA"/>
    <w:rsid w:val="008B1F88"/>
    <w:rsid w:val="008C0EA6"/>
    <w:rsid w:val="008C391C"/>
    <w:rsid w:val="008D61B3"/>
    <w:rsid w:val="008D769E"/>
    <w:rsid w:val="008E190F"/>
    <w:rsid w:val="008E536B"/>
    <w:rsid w:val="008E7876"/>
    <w:rsid w:val="008F7472"/>
    <w:rsid w:val="009017DD"/>
    <w:rsid w:val="009028B5"/>
    <w:rsid w:val="00903020"/>
    <w:rsid w:val="00910001"/>
    <w:rsid w:val="00910ED8"/>
    <w:rsid w:val="00913C18"/>
    <w:rsid w:val="00915A56"/>
    <w:rsid w:val="00921665"/>
    <w:rsid w:val="0092670C"/>
    <w:rsid w:val="00931196"/>
    <w:rsid w:val="00935EB8"/>
    <w:rsid w:val="00940A4C"/>
    <w:rsid w:val="009410D8"/>
    <w:rsid w:val="00941224"/>
    <w:rsid w:val="00942D53"/>
    <w:rsid w:val="009552F3"/>
    <w:rsid w:val="00955777"/>
    <w:rsid w:val="00956CDA"/>
    <w:rsid w:val="009630AD"/>
    <w:rsid w:val="009666F4"/>
    <w:rsid w:val="0097208F"/>
    <w:rsid w:val="0097391B"/>
    <w:rsid w:val="00975786"/>
    <w:rsid w:val="009850B4"/>
    <w:rsid w:val="00992D72"/>
    <w:rsid w:val="009955E6"/>
    <w:rsid w:val="009A49F0"/>
    <w:rsid w:val="009B41E0"/>
    <w:rsid w:val="009D1CE7"/>
    <w:rsid w:val="009D4D38"/>
    <w:rsid w:val="009E0658"/>
    <w:rsid w:val="009E0E4F"/>
    <w:rsid w:val="009F4168"/>
    <w:rsid w:val="009F51BE"/>
    <w:rsid w:val="009F5F55"/>
    <w:rsid w:val="00A00BE8"/>
    <w:rsid w:val="00A0210A"/>
    <w:rsid w:val="00A036F9"/>
    <w:rsid w:val="00A0448E"/>
    <w:rsid w:val="00A16B16"/>
    <w:rsid w:val="00A16C31"/>
    <w:rsid w:val="00A24926"/>
    <w:rsid w:val="00A3305E"/>
    <w:rsid w:val="00A331E5"/>
    <w:rsid w:val="00A370B5"/>
    <w:rsid w:val="00A3755E"/>
    <w:rsid w:val="00A46A0F"/>
    <w:rsid w:val="00A47A2E"/>
    <w:rsid w:val="00A50636"/>
    <w:rsid w:val="00A53030"/>
    <w:rsid w:val="00A571E7"/>
    <w:rsid w:val="00A5725D"/>
    <w:rsid w:val="00A6618A"/>
    <w:rsid w:val="00A70C5F"/>
    <w:rsid w:val="00A73093"/>
    <w:rsid w:val="00A80BA0"/>
    <w:rsid w:val="00A814DF"/>
    <w:rsid w:val="00A8554B"/>
    <w:rsid w:val="00A8738C"/>
    <w:rsid w:val="00A87D89"/>
    <w:rsid w:val="00A91235"/>
    <w:rsid w:val="00A93294"/>
    <w:rsid w:val="00A943A8"/>
    <w:rsid w:val="00AA01E2"/>
    <w:rsid w:val="00AA6351"/>
    <w:rsid w:val="00AB4999"/>
    <w:rsid w:val="00AB6354"/>
    <w:rsid w:val="00AC646E"/>
    <w:rsid w:val="00AE35E0"/>
    <w:rsid w:val="00AE6477"/>
    <w:rsid w:val="00AF0EE9"/>
    <w:rsid w:val="00AF32F7"/>
    <w:rsid w:val="00B02640"/>
    <w:rsid w:val="00B02A98"/>
    <w:rsid w:val="00B1529D"/>
    <w:rsid w:val="00B22C7F"/>
    <w:rsid w:val="00B2343B"/>
    <w:rsid w:val="00B25211"/>
    <w:rsid w:val="00B30423"/>
    <w:rsid w:val="00B30A73"/>
    <w:rsid w:val="00B356FB"/>
    <w:rsid w:val="00B3617B"/>
    <w:rsid w:val="00B41007"/>
    <w:rsid w:val="00B439A1"/>
    <w:rsid w:val="00B45B7B"/>
    <w:rsid w:val="00B4752A"/>
    <w:rsid w:val="00B53231"/>
    <w:rsid w:val="00B53AB9"/>
    <w:rsid w:val="00B625DB"/>
    <w:rsid w:val="00B64778"/>
    <w:rsid w:val="00B65D93"/>
    <w:rsid w:val="00B65E12"/>
    <w:rsid w:val="00B74985"/>
    <w:rsid w:val="00B74C90"/>
    <w:rsid w:val="00B86CDE"/>
    <w:rsid w:val="00B911E6"/>
    <w:rsid w:val="00B96C1E"/>
    <w:rsid w:val="00BB1A8C"/>
    <w:rsid w:val="00BB3232"/>
    <w:rsid w:val="00BC072A"/>
    <w:rsid w:val="00BC3409"/>
    <w:rsid w:val="00BC7D3E"/>
    <w:rsid w:val="00BD19C6"/>
    <w:rsid w:val="00BD2844"/>
    <w:rsid w:val="00BD6F45"/>
    <w:rsid w:val="00BE43DA"/>
    <w:rsid w:val="00BE695E"/>
    <w:rsid w:val="00BE7EBA"/>
    <w:rsid w:val="00BF168A"/>
    <w:rsid w:val="00BF3B41"/>
    <w:rsid w:val="00BF6DFF"/>
    <w:rsid w:val="00BF6FD6"/>
    <w:rsid w:val="00C026DB"/>
    <w:rsid w:val="00C03372"/>
    <w:rsid w:val="00C04EA5"/>
    <w:rsid w:val="00C14170"/>
    <w:rsid w:val="00C15646"/>
    <w:rsid w:val="00C2376B"/>
    <w:rsid w:val="00C25F26"/>
    <w:rsid w:val="00C30BC6"/>
    <w:rsid w:val="00C338F0"/>
    <w:rsid w:val="00C36C0D"/>
    <w:rsid w:val="00C453C3"/>
    <w:rsid w:val="00C47022"/>
    <w:rsid w:val="00C50B6F"/>
    <w:rsid w:val="00C55D66"/>
    <w:rsid w:val="00C56DA0"/>
    <w:rsid w:val="00C57E1E"/>
    <w:rsid w:val="00C605FB"/>
    <w:rsid w:val="00C61AD7"/>
    <w:rsid w:val="00C620BC"/>
    <w:rsid w:val="00C657E5"/>
    <w:rsid w:val="00C675F1"/>
    <w:rsid w:val="00C70512"/>
    <w:rsid w:val="00C70732"/>
    <w:rsid w:val="00C72C0A"/>
    <w:rsid w:val="00C72CC3"/>
    <w:rsid w:val="00C75AC1"/>
    <w:rsid w:val="00C83C79"/>
    <w:rsid w:val="00C8448E"/>
    <w:rsid w:val="00CA1FEA"/>
    <w:rsid w:val="00CA7096"/>
    <w:rsid w:val="00CB3E68"/>
    <w:rsid w:val="00CC4633"/>
    <w:rsid w:val="00CD4494"/>
    <w:rsid w:val="00CD50F5"/>
    <w:rsid w:val="00CD52DA"/>
    <w:rsid w:val="00CD7590"/>
    <w:rsid w:val="00CE15CD"/>
    <w:rsid w:val="00CE4BB3"/>
    <w:rsid w:val="00CF30F4"/>
    <w:rsid w:val="00CF521B"/>
    <w:rsid w:val="00D00080"/>
    <w:rsid w:val="00D04EC0"/>
    <w:rsid w:val="00D05A17"/>
    <w:rsid w:val="00D10835"/>
    <w:rsid w:val="00D16945"/>
    <w:rsid w:val="00D2092C"/>
    <w:rsid w:val="00D22FCF"/>
    <w:rsid w:val="00D31774"/>
    <w:rsid w:val="00D31B31"/>
    <w:rsid w:val="00D32D4C"/>
    <w:rsid w:val="00D355D3"/>
    <w:rsid w:val="00D36B11"/>
    <w:rsid w:val="00D37FEC"/>
    <w:rsid w:val="00D40DB1"/>
    <w:rsid w:val="00D45A35"/>
    <w:rsid w:val="00D5295A"/>
    <w:rsid w:val="00D55816"/>
    <w:rsid w:val="00D60202"/>
    <w:rsid w:val="00D626A8"/>
    <w:rsid w:val="00D64938"/>
    <w:rsid w:val="00D65071"/>
    <w:rsid w:val="00D6719F"/>
    <w:rsid w:val="00D679D2"/>
    <w:rsid w:val="00D71A10"/>
    <w:rsid w:val="00D724C5"/>
    <w:rsid w:val="00D72925"/>
    <w:rsid w:val="00D75AE9"/>
    <w:rsid w:val="00D76A08"/>
    <w:rsid w:val="00D76BE6"/>
    <w:rsid w:val="00D803E6"/>
    <w:rsid w:val="00D824A8"/>
    <w:rsid w:val="00D83378"/>
    <w:rsid w:val="00D864F6"/>
    <w:rsid w:val="00D94C48"/>
    <w:rsid w:val="00D9652C"/>
    <w:rsid w:val="00DA7FAD"/>
    <w:rsid w:val="00DB0F54"/>
    <w:rsid w:val="00DB100A"/>
    <w:rsid w:val="00DB2BB0"/>
    <w:rsid w:val="00DB33D6"/>
    <w:rsid w:val="00DB47F8"/>
    <w:rsid w:val="00DB6EA7"/>
    <w:rsid w:val="00DC13EC"/>
    <w:rsid w:val="00DC4A07"/>
    <w:rsid w:val="00DC5C18"/>
    <w:rsid w:val="00DC6E42"/>
    <w:rsid w:val="00DD1299"/>
    <w:rsid w:val="00DD2434"/>
    <w:rsid w:val="00DE5413"/>
    <w:rsid w:val="00DF0611"/>
    <w:rsid w:val="00DF12D3"/>
    <w:rsid w:val="00DF31FA"/>
    <w:rsid w:val="00E04A16"/>
    <w:rsid w:val="00E05B1B"/>
    <w:rsid w:val="00E12AE4"/>
    <w:rsid w:val="00E34C31"/>
    <w:rsid w:val="00E40369"/>
    <w:rsid w:val="00E45BFE"/>
    <w:rsid w:val="00E47720"/>
    <w:rsid w:val="00E513BB"/>
    <w:rsid w:val="00E57959"/>
    <w:rsid w:val="00E65DEA"/>
    <w:rsid w:val="00E67EB9"/>
    <w:rsid w:val="00E71095"/>
    <w:rsid w:val="00E7207A"/>
    <w:rsid w:val="00E72216"/>
    <w:rsid w:val="00E74FD5"/>
    <w:rsid w:val="00E74FDF"/>
    <w:rsid w:val="00E86E46"/>
    <w:rsid w:val="00E92198"/>
    <w:rsid w:val="00E94486"/>
    <w:rsid w:val="00EA245F"/>
    <w:rsid w:val="00EA7C06"/>
    <w:rsid w:val="00EB61B2"/>
    <w:rsid w:val="00EC1BF8"/>
    <w:rsid w:val="00EC361E"/>
    <w:rsid w:val="00ED0ECC"/>
    <w:rsid w:val="00ED137B"/>
    <w:rsid w:val="00ED1F6B"/>
    <w:rsid w:val="00ED2A7B"/>
    <w:rsid w:val="00ED3DC0"/>
    <w:rsid w:val="00ED531D"/>
    <w:rsid w:val="00ED67E4"/>
    <w:rsid w:val="00EE1323"/>
    <w:rsid w:val="00EE4101"/>
    <w:rsid w:val="00EE4BDB"/>
    <w:rsid w:val="00EF4A94"/>
    <w:rsid w:val="00EF4B8A"/>
    <w:rsid w:val="00EF52F9"/>
    <w:rsid w:val="00EF547F"/>
    <w:rsid w:val="00EF6957"/>
    <w:rsid w:val="00EF74A4"/>
    <w:rsid w:val="00F023BA"/>
    <w:rsid w:val="00F058FC"/>
    <w:rsid w:val="00F12C54"/>
    <w:rsid w:val="00F130E1"/>
    <w:rsid w:val="00F1602C"/>
    <w:rsid w:val="00F23655"/>
    <w:rsid w:val="00F25962"/>
    <w:rsid w:val="00F30E6B"/>
    <w:rsid w:val="00F33268"/>
    <w:rsid w:val="00F43952"/>
    <w:rsid w:val="00F51D43"/>
    <w:rsid w:val="00F60816"/>
    <w:rsid w:val="00F620AF"/>
    <w:rsid w:val="00F64974"/>
    <w:rsid w:val="00F7097E"/>
    <w:rsid w:val="00F71981"/>
    <w:rsid w:val="00F87665"/>
    <w:rsid w:val="00F917F0"/>
    <w:rsid w:val="00F95AB2"/>
    <w:rsid w:val="00FA1488"/>
    <w:rsid w:val="00FA3F25"/>
    <w:rsid w:val="00FA5414"/>
    <w:rsid w:val="00FB2065"/>
    <w:rsid w:val="00FB4582"/>
    <w:rsid w:val="00FC59E1"/>
    <w:rsid w:val="00FD5F99"/>
    <w:rsid w:val="00FD771C"/>
    <w:rsid w:val="00FE2BB0"/>
    <w:rsid w:val="00FE33E4"/>
    <w:rsid w:val="00FE7229"/>
    <w:rsid w:val="00FF133F"/>
    <w:rsid w:val="00FF248C"/>
    <w:rsid w:val="00FF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2C"/>
    <w:pPr>
      <w:spacing w:after="0" w:line="240" w:lineRule="auto"/>
    </w:pPr>
    <w:rPr>
      <w:rFonts w:ascii="Times New Roman" w:eastAsia="Times New Roman" w:hAnsi="Times New Roman" w:cs="Angsana New"/>
      <w:sz w:val="24"/>
      <w:szCs w:val="28"/>
      <w:lang w:val="en-US" w:bidi="th-TH"/>
    </w:rPr>
  </w:style>
  <w:style w:type="paragraph" w:styleId="Heading1">
    <w:name w:val="heading 1"/>
    <w:basedOn w:val="Normal"/>
    <w:next w:val="Normal"/>
    <w:link w:val="Heading1Char"/>
    <w:uiPriority w:val="9"/>
    <w:qFormat/>
    <w:rsid w:val="00FA5414"/>
    <w:pPr>
      <w:keepNext/>
      <w:keepLines/>
      <w:spacing w:before="480"/>
      <w:outlineLvl w:val="0"/>
    </w:pPr>
    <w:rPr>
      <w:rFonts w:asciiTheme="majorHAnsi" w:eastAsiaTheme="majorEastAsia" w:hAnsiTheme="majorHAns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4A8"/>
    <w:rPr>
      <w:sz w:val="20"/>
      <w:szCs w:val="25"/>
    </w:rPr>
  </w:style>
  <w:style w:type="character" w:customStyle="1" w:styleId="FootnoteTextChar">
    <w:name w:val="Footnote Text Char"/>
    <w:basedOn w:val="DefaultParagraphFont"/>
    <w:link w:val="FootnoteText"/>
    <w:uiPriority w:val="99"/>
    <w:semiHidden/>
    <w:rsid w:val="00D824A8"/>
    <w:rPr>
      <w:rFonts w:ascii="Times New Roman" w:eastAsia="Times New Roman" w:hAnsi="Times New Roman" w:cs="Angsana New"/>
      <w:sz w:val="20"/>
      <w:szCs w:val="25"/>
      <w:lang w:val="en-US" w:bidi="th-TH"/>
    </w:rPr>
  </w:style>
  <w:style w:type="character" w:styleId="FootnoteReference">
    <w:name w:val="footnote reference"/>
    <w:basedOn w:val="DefaultParagraphFont"/>
    <w:uiPriority w:val="99"/>
    <w:semiHidden/>
    <w:unhideWhenUsed/>
    <w:rsid w:val="00D824A8"/>
    <w:rPr>
      <w:vertAlign w:val="superscript"/>
    </w:rPr>
  </w:style>
  <w:style w:type="character" w:customStyle="1" w:styleId="slug-doi">
    <w:name w:val="slug-doi"/>
    <w:basedOn w:val="DefaultParagraphFont"/>
    <w:rsid w:val="00F1602C"/>
  </w:style>
  <w:style w:type="paragraph" w:styleId="BalloonText">
    <w:name w:val="Balloon Text"/>
    <w:basedOn w:val="Normal"/>
    <w:link w:val="BalloonTextChar"/>
    <w:uiPriority w:val="99"/>
    <w:semiHidden/>
    <w:unhideWhenUsed/>
    <w:rsid w:val="0006441E"/>
    <w:rPr>
      <w:rFonts w:ascii="Tahoma" w:hAnsi="Tahoma"/>
      <w:sz w:val="16"/>
      <w:szCs w:val="20"/>
    </w:rPr>
  </w:style>
  <w:style w:type="character" w:customStyle="1" w:styleId="BalloonTextChar">
    <w:name w:val="Balloon Text Char"/>
    <w:basedOn w:val="DefaultParagraphFont"/>
    <w:link w:val="BalloonText"/>
    <w:uiPriority w:val="99"/>
    <w:semiHidden/>
    <w:rsid w:val="0006441E"/>
    <w:rPr>
      <w:rFonts w:ascii="Tahoma" w:eastAsia="Times New Roman" w:hAnsi="Tahoma" w:cs="Angsana New"/>
      <w:sz w:val="16"/>
      <w:szCs w:val="20"/>
      <w:lang w:val="en-US" w:bidi="th-TH"/>
    </w:rPr>
  </w:style>
  <w:style w:type="paragraph" w:styleId="ListParagraph">
    <w:name w:val="List Paragraph"/>
    <w:basedOn w:val="Normal"/>
    <w:uiPriority w:val="34"/>
    <w:qFormat/>
    <w:rsid w:val="00C47022"/>
    <w:pPr>
      <w:ind w:left="720"/>
      <w:contextualSpacing/>
    </w:pPr>
  </w:style>
  <w:style w:type="character" w:styleId="Hyperlink">
    <w:name w:val="Hyperlink"/>
    <w:basedOn w:val="DefaultParagraphFont"/>
    <w:semiHidden/>
    <w:unhideWhenUsed/>
    <w:rsid w:val="00C55D66"/>
    <w:rPr>
      <w:strike w:val="0"/>
      <w:dstrike w:val="0"/>
      <w:color w:val="FFFFFF"/>
      <w:u w:val="none"/>
      <w:effect w:val="none"/>
    </w:rPr>
  </w:style>
  <w:style w:type="paragraph" w:styleId="EndnoteText">
    <w:name w:val="endnote text"/>
    <w:basedOn w:val="Normal"/>
    <w:link w:val="EndnoteTextChar"/>
    <w:uiPriority w:val="99"/>
    <w:semiHidden/>
    <w:unhideWhenUsed/>
    <w:rsid w:val="00EF547F"/>
    <w:rPr>
      <w:sz w:val="20"/>
      <w:szCs w:val="25"/>
    </w:rPr>
  </w:style>
  <w:style w:type="character" w:customStyle="1" w:styleId="EndnoteTextChar">
    <w:name w:val="Endnote Text Char"/>
    <w:basedOn w:val="DefaultParagraphFont"/>
    <w:link w:val="EndnoteText"/>
    <w:uiPriority w:val="99"/>
    <w:semiHidden/>
    <w:rsid w:val="00EF547F"/>
    <w:rPr>
      <w:rFonts w:ascii="Times New Roman" w:eastAsia="Times New Roman" w:hAnsi="Times New Roman" w:cs="Angsana New"/>
      <w:sz w:val="20"/>
      <w:szCs w:val="25"/>
      <w:lang w:val="en-US" w:bidi="th-TH"/>
    </w:rPr>
  </w:style>
  <w:style w:type="character" w:styleId="EndnoteReference">
    <w:name w:val="endnote reference"/>
    <w:basedOn w:val="DefaultParagraphFont"/>
    <w:uiPriority w:val="99"/>
    <w:semiHidden/>
    <w:unhideWhenUsed/>
    <w:rsid w:val="00EF547F"/>
    <w:rPr>
      <w:vertAlign w:val="superscript"/>
    </w:rPr>
  </w:style>
  <w:style w:type="character" w:customStyle="1" w:styleId="Heading1Char">
    <w:name w:val="Heading 1 Char"/>
    <w:basedOn w:val="DefaultParagraphFont"/>
    <w:link w:val="Heading1"/>
    <w:uiPriority w:val="9"/>
    <w:rsid w:val="00FA5414"/>
    <w:rPr>
      <w:rFonts w:asciiTheme="majorHAnsi" w:eastAsiaTheme="majorEastAsia" w:hAnsiTheme="majorHAnsi" w:cs="Angsana New"/>
      <w:b/>
      <w:bCs/>
      <w:color w:val="365F91" w:themeColor="accent1" w:themeShade="BF"/>
      <w:sz w:val="28"/>
      <w:szCs w:val="35"/>
      <w:lang w:val="en-US" w:bidi="th-TH"/>
    </w:rPr>
  </w:style>
  <w:style w:type="character" w:styleId="PlaceholderText">
    <w:name w:val="Placeholder Text"/>
    <w:basedOn w:val="DefaultParagraphFont"/>
    <w:uiPriority w:val="99"/>
    <w:semiHidden/>
    <w:rsid w:val="00895730"/>
    <w:rPr>
      <w:color w:val="808080"/>
    </w:rPr>
  </w:style>
  <w:style w:type="table" w:styleId="TableGrid">
    <w:name w:val="Table Grid"/>
    <w:basedOn w:val="TableNormal"/>
    <w:uiPriority w:val="59"/>
    <w:rsid w:val="00FB4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2C"/>
    <w:pPr>
      <w:spacing w:after="0" w:line="240" w:lineRule="auto"/>
    </w:pPr>
    <w:rPr>
      <w:rFonts w:ascii="Times New Roman" w:eastAsia="Times New Roman" w:hAnsi="Times New Roman" w:cs="Angsana New"/>
      <w:sz w:val="24"/>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4A8"/>
    <w:rPr>
      <w:sz w:val="20"/>
      <w:szCs w:val="25"/>
    </w:rPr>
  </w:style>
  <w:style w:type="character" w:customStyle="1" w:styleId="FootnoteTextChar">
    <w:name w:val="Footnote Text Char"/>
    <w:basedOn w:val="DefaultParagraphFont"/>
    <w:link w:val="FootnoteText"/>
    <w:uiPriority w:val="99"/>
    <w:semiHidden/>
    <w:rsid w:val="00D824A8"/>
    <w:rPr>
      <w:rFonts w:ascii="Times New Roman" w:eastAsia="Times New Roman" w:hAnsi="Times New Roman" w:cs="Angsana New"/>
      <w:sz w:val="20"/>
      <w:szCs w:val="25"/>
      <w:lang w:val="en-US" w:bidi="th-TH"/>
    </w:rPr>
  </w:style>
  <w:style w:type="character" w:styleId="FootnoteReference">
    <w:name w:val="footnote reference"/>
    <w:basedOn w:val="DefaultParagraphFont"/>
    <w:uiPriority w:val="99"/>
    <w:semiHidden/>
    <w:unhideWhenUsed/>
    <w:rsid w:val="00D824A8"/>
    <w:rPr>
      <w:vertAlign w:val="superscript"/>
    </w:rPr>
  </w:style>
  <w:style w:type="character" w:customStyle="1" w:styleId="slug-doi">
    <w:name w:val="slug-doi"/>
    <w:basedOn w:val="DefaultParagraphFont"/>
    <w:rsid w:val="00F1602C"/>
  </w:style>
  <w:style w:type="paragraph" w:styleId="BalloonText">
    <w:name w:val="Balloon Text"/>
    <w:basedOn w:val="Normal"/>
    <w:link w:val="BalloonTextChar"/>
    <w:uiPriority w:val="99"/>
    <w:semiHidden/>
    <w:unhideWhenUsed/>
    <w:rsid w:val="0006441E"/>
    <w:rPr>
      <w:rFonts w:ascii="Tahoma" w:hAnsi="Tahoma"/>
      <w:sz w:val="16"/>
      <w:szCs w:val="20"/>
    </w:rPr>
  </w:style>
  <w:style w:type="character" w:customStyle="1" w:styleId="BalloonTextChar">
    <w:name w:val="Balloon Text Char"/>
    <w:basedOn w:val="DefaultParagraphFont"/>
    <w:link w:val="BalloonText"/>
    <w:uiPriority w:val="99"/>
    <w:semiHidden/>
    <w:rsid w:val="0006441E"/>
    <w:rPr>
      <w:rFonts w:ascii="Tahoma" w:eastAsia="Times New Roman" w:hAnsi="Tahoma" w:cs="Angsana New"/>
      <w:sz w:val="16"/>
      <w:szCs w:val="20"/>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1128">
      <w:bodyDiv w:val="1"/>
      <w:marLeft w:val="0"/>
      <w:marRight w:val="0"/>
      <w:marTop w:val="0"/>
      <w:marBottom w:val="0"/>
      <w:divBdr>
        <w:top w:val="none" w:sz="0" w:space="0" w:color="auto"/>
        <w:left w:val="none" w:sz="0" w:space="0" w:color="auto"/>
        <w:bottom w:val="none" w:sz="0" w:space="0" w:color="auto"/>
        <w:right w:val="none" w:sz="0" w:space="0" w:color="auto"/>
      </w:divBdr>
    </w:div>
    <w:div w:id="443355087">
      <w:bodyDiv w:val="1"/>
      <w:marLeft w:val="0"/>
      <w:marRight w:val="0"/>
      <w:marTop w:val="0"/>
      <w:marBottom w:val="0"/>
      <w:divBdr>
        <w:top w:val="none" w:sz="0" w:space="0" w:color="auto"/>
        <w:left w:val="none" w:sz="0" w:space="0" w:color="auto"/>
        <w:bottom w:val="none" w:sz="0" w:space="0" w:color="auto"/>
        <w:right w:val="none" w:sz="0" w:space="0" w:color="auto"/>
      </w:divBdr>
      <w:divsChild>
        <w:div w:id="1545092421">
          <w:marLeft w:val="0"/>
          <w:marRight w:val="0"/>
          <w:marTop w:val="0"/>
          <w:marBottom w:val="0"/>
          <w:divBdr>
            <w:top w:val="none" w:sz="0" w:space="0" w:color="auto"/>
            <w:left w:val="none" w:sz="0" w:space="0" w:color="auto"/>
            <w:bottom w:val="none" w:sz="0" w:space="0" w:color="auto"/>
            <w:right w:val="none" w:sz="0" w:space="0" w:color="auto"/>
          </w:divBdr>
        </w:div>
      </w:divsChild>
    </w:div>
    <w:div w:id="694773329">
      <w:bodyDiv w:val="1"/>
      <w:marLeft w:val="0"/>
      <w:marRight w:val="0"/>
      <w:marTop w:val="0"/>
      <w:marBottom w:val="0"/>
      <w:divBdr>
        <w:top w:val="none" w:sz="0" w:space="0" w:color="auto"/>
        <w:left w:val="none" w:sz="0" w:space="0" w:color="auto"/>
        <w:bottom w:val="none" w:sz="0" w:space="0" w:color="auto"/>
        <w:right w:val="none" w:sz="0" w:space="0" w:color="auto"/>
      </w:divBdr>
      <w:divsChild>
        <w:div w:id="1708068042">
          <w:marLeft w:val="0"/>
          <w:marRight w:val="0"/>
          <w:marTop w:val="0"/>
          <w:marBottom w:val="0"/>
          <w:divBdr>
            <w:top w:val="none" w:sz="0" w:space="0" w:color="auto"/>
            <w:left w:val="none" w:sz="0" w:space="0" w:color="auto"/>
            <w:bottom w:val="none" w:sz="0" w:space="0" w:color="auto"/>
            <w:right w:val="none" w:sz="0" w:space="0" w:color="auto"/>
          </w:divBdr>
        </w:div>
      </w:divsChild>
    </w:div>
    <w:div w:id="804812210">
      <w:bodyDiv w:val="1"/>
      <w:marLeft w:val="0"/>
      <w:marRight w:val="0"/>
      <w:marTop w:val="0"/>
      <w:marBottom w:val="0"/>
      <w:divBdr>
        <w:top w:val="none" w:sz="0" w:space="0" w:color="auto"/>
        <w:left w:val="none" w:sz="0" w:space="0" w:color="auto"/>
        <w:bottom w:val="none" w:sz="0" w:space="0" w:color="auto"/>
        <w:right w:val="none" w:sz="0" w:space="0" w:color="auto"/>
      </w:divBdr>
      <w:divsChild>
        <w:div w:id="1278028804">
          <w:marLeft w:val="0"/>
          <w:marRight w:val="0"/>
          <w:marTop w:val="0"/>
          <w:marBottom w:val="0"/>
          <w:divBdr>
            <w:top w:val="none" w:sz="0" w:space="0" w:color="auto"/>
            <w:left w:val="none" w:sz="0" w:space="0" w:color="auto"/>
            <w:bottom w:val="none" w:sz="0" w:space="0" w:color="auto"/>
            <w:right w:val="none" w:sz="0" w:space="0" w:color="auto"/>
          </w:divBdr>
        </w:div>
      </w:divsChild>
    </w:div>
    <w:div w:id="1135411849">
      <w:bodyDiv w:val="1"/>
      <w:marLeft w:val="0"/>
      <w:marRight w:val="0"/>
      <w:marTop w:val="0"/>
      <w:marBottom w:val="0"/>
      <w:divBdr>
        <w:top w:val="none" w:sz="0" w:space="0" w:color="auto"/>
        <w:left w:val="none" w:sz="0" w:space="0" w:color="auto"/>
        <w:bottom w:val="none" w:sz="0" w:space="0" w:color="auto"/>
        <w:right w:val="none" w:sz="0" w:space="0" w:color="auto"/>
      </w:divBdr>
      <w:divsChild>
        <w:div w:id="484783550">
          <w:marLeft w:val="0"/>
          <w:marRight w:val="0"/>
          <w:marTop w:val="0"/>
          <w:marBottom w:val="0"/>
          <w:divBdr>
            <w:top w:val="none" w:sz="0" w:space="0" w:color="auto"/>
            <w:left w:val="none" w:sz="0" w:space="0" w:color="auto"/>
            <w:bottom w:val="none" w:sz="0" w:space="0" w:color="auto"/>
            <w:right w:val="none" w:sz="0" w:space="0" w:color="auto"/>
          </w:divBdr>
        </w:div>
      </w:divsChild>
    </w:div>
    <w:div w:id="1272512669">
      <w:bodyDiv w:val="1"/>
      <w:marLeft w:val="0"/>
      <w:marRight w:val="0"/>
      <w:marTop w:val="0"/>
      <w:marBottom w:val="0"/>
      <w:divBdr>
        <w:top w:val="none" w:sz="0" w:space="0" w:color="auto"/>
        <w:left w:val="none" w:sz="0" w:space="0" w:color="auto"/>
        <w:bottom w:val="none" w:sz="0" w:space="0" w:color="auto"/>
        <w:right w:val="none" w:sz="0" w:space="0" w:color="auto"/>
      </w:divBdr>
      <w:divsChild>
        <w:div w:id="1020396086">
          <w:marLeft w:val="0"/>
          <w:marRight w:val="0"/>
          <w:marTop w:val="0"/>
          <w:marBottom w:val="0"/>
          <w:divBdr>
            <w:top w:val="none" w:sz="0" w:space="0" w:color="auto"/>
            <w:left w:val="none" w:sz="0" w:space="0" w:color="auto"/>
            <w:bottom w:val="none" w:sz="0" w:space="0" w:color="auto"/>
            <w:right w:val="none" w:sz="0" w:space="0" w:color="auto"/>
          </w:divBdr>
        </w:div>
      </w:divsChild>
    </w:div>
    <w:div w:id="1508860566">
      <w:bodyDiv w:val="1"/>
      <w:marLeft w:val="0"/>
      <w:marRight w:val="0"/>
      <w:marTop w:val="0"/>
      <w:marBottom w:val="0"/>
      <w:divBdr>
        <w:top w:val="none" w:sz="0" w:space="0" w:color="auto"/>
        <w:left w:val="none" w:sz="0" w:space="0" w:color="auto"/>
        <w:bottom w:val="none" w:sz="0" w:space="0" w:color="auto"/>
        <w:right w:val="none" w:sz="0" w:space="0" w:color="auto"/>
      </w:divBdr>
      <w:divsChild>
        <w:div w:id="1438987884">
          <w:marLeft w:val="0"/>
          <w:marRight w:val="0"/>
          <w:marTop w:val="0"/>
          <w:marBottom w:val="0"/>
          <w:divBdr>
            <w:top w:val="none" w:sz="0" w:space="0" w:color="auto"/>
            <w:left w:val="none" w:sz="0" w:space="0" w:color="auto"/>
            <w:bottom w:val="none" w:sz="0" w:space="0" w:color="auto"/>
            <w:right w:val="none" w:sz="0" w:space="0" w:color="auto"/>
          </w:divBdr>
        </w:div>
      </w:divsChild>
    </w:div>
    <w:div w:id="1552106966">
      <w:bodyDiv w:val="1"/>
      <w:marLeft w:val="0"/>
      <w:marRight w:val="0"/>
      <w:marTop w:val="0"/>
      <w:marBottom w:val="0"/>
      <w:divBdr>
        <w:top w:val="none" w:sz="0" w:space="0" w:color="auto"/>
        <w:left w:val="none" w:sz="0" w:space="0" w:color="auto"/>
        <w:bottom w:val="none" w:sz="0" w:space="0" w:color="auto"/>
        <w:right w:val="none" w:sz="0" w:space="0" w:color="auto"/>
      </w:divBdr>
      <w:divsChild>
        <w:div w:id="1378581348">
          <w:marLeft w:val="0"/>
          <w:marRight w:val="0"/>
          <w:marTop w:val="0"/>
          <w:marBottom w:val="0"/>
          <w:divBdr>
            <w:top w:val="none" w:sz="0" w:space="0" w:color="auto"/>
            <w:left w:val="none" w:sz="0" w:space="0" w:color="auto"/>
            <w:bottom w:val="none" w:sz="0" w:space="0" w:color="auto"/>
            <w:right w:val="none" w:sz="0" w:space="0" w:color="auto"/>
          </w:divBdr>
        </w:div>
      </w:divsChild>
    </w:div>
    <w:div w:id="1591425715">
      <w:bodyDiv w:val="1"/>
      <w:marLeft w:val="0"/>
      <w:marRight w:val="0"/>
      <w:marTop w:val="0"/>
      <w:marBottom w:val="0"/>
      <w:divBdr>
        <w:top w:val="none" w:sz="0" w:space="0" w:color="auto"/>
        <w:left w:val="none" w:sz="0" w:space="0" w:color="auto"/>
        <w:bottom w:val="none" w:sz="0" w:space="0" w:color="auto"/>
        <w:right w:val="none" w:sz="0" w:space="0" w:color="auto"/>
      </w:divBdr>
      <w:divsChild>
        <w:div w:id="1030376302">
          <w:marLeft w:val="0"/>
          <w:marRight w:val="0"/>
          <w:marTop w:val="0"/>
          <w:marBottom w:val="0"/>
          <w:divBdr>
            <w:top w:val="none" w:sz="0" w:space="0" w:color="auto"/>
            <w:left w:val="none" w:sz="0" w:space="0" w:color="auto"/>
            <w:bottom w:val="none" w:sz="0" w:space="0" w:color="auto"/>
            <w:right w:val="none" w:sz="0" w:space="0" w:color="auto"/>
          </w:divBdr>
        </w:div>
      </w:divsChild>
    </w:div>
    <w:div w:id="1696807920">
      <w:bodyDiv w:val="1"/>
      <w:marLeft w:val="0"/>
      <w:marRight w:val="0"/>
      <w:marTop w:val="0"/>
      <w:marBottom w:val="0"/>
      <w:divBdr>
        <w:top w:val="none" w:sz="0" w:space="0" w:color="auto"/>
        <w:left w:val="none" w:sz="0" w:space="0" w:color="auto"/>
        <w:bottom w:val="none" w:sz="0" w:space="0" w:color="auto"/>
        <w:right w:val="none" w:sz="0" w:space="0" w:color="auto"/>
      </w:divBdr>
      <w:divsChild>
        <w:div w:id="210075332">
          <w:marLeft w:val="0"/>
          <w:marRight w:val="0"/>
          <w:marTop w:val="0"/>
          <w:marBottom w:val="0"/>
          <w:divBdr>
            <w:top w:val="none" w:sz="0" w:space="0" w:color="auto"/>
            <w:left w:val="none" w:sz="0" w:space="0" w:color="auto"/>
            <w:bottom w:val="none" w:sz="0" w:space="0" w:color="auto"/>
            <w:right w:val="none" w:sz="0" w:space="0" w:color="auto"/>
          </w:divBdr>
        </w:div>
      </w:divsChild>
    </w:div>
    <w:div w:id="1865899285">
      <w:bodyDiv w:val="1"/>
      <w:marLeft w:val="0"/>
      <w:marRight w:val="0"/>
      <w:marTop w:val="0"/>
      <w:marBottom w:val="0"/>
      <w:divBdr>
        <w:top w:val="none" w:sz="0" w:space="0" w:color="auto"/>
        <w:left w:val="none" w:sz="0" w:space="0" w:color="auto"/>
        <w:bottom w:val="none" w:sz="0" w:space="0" w:color="auto"/>
        <w:right w:val="none" w:sz="0" w:space="0" w:color="auto"/>
      </w:divBdr>
      <w:divsChild>
        <w:div w:id="188713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351A-9303-41B5-9051-8FB87E84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uhte020</dc:creator>
  <cp:lastModifiedBy>uhte020</cp:lastModifiedBy>
  <cp:revision>2</cp:revision>
  <cp:lastPrinted>2013-10-04T16:49:00Z</cp:lastPrinted>
  <dcterms:created xsi:type="dcterms:W3CDTF">2013-10-09T17:12:00Z</dcterms:created>
  <dcterms:modified xsi:type="dcterms:W3CDTF">2013-10-09T17:12:00Z</dcterms:modified>
</cp:coreProperties>
</file>