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2BE" w:rsidRPr="006E43E1" w:rsidRDefault="000262BE" w:rsidP="000262BE">
      <w:pPr>
        <w:pStyle w:val="NormalWeb"/>
        <w:spacing w:after="0" w:line="360" w:lineRule="auto"/>
        <w:jc w:val="center"/>
        <w:rPr>
          <w:lang w:val="en-US"/>
        </w:rPr>
      </w:pPr>
      <w:bookmarkStart w:id="0" w:name="_GoBack"/>
      <w:bookmarkEnd w:id="0"/>
      <w:r>
        <w:rPr>
          <w:sz w:val="44"/>
          <w:szCs w:val="44"/>
          <w:lang w:val="en-GB"/>
        </w:rPr>
        <w:t>Attentional Modulations in the Visual Cortex in the Absence of Visual Stimulation</w:t>
      </w: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rPr>
          <w:lang w:val="en-GB"/>
        </w:rPr>
      </w:pPr>
    </w:p>
    <w:p w:rsidR="000262BE" w:rsidRPr="002F6313" w:rsidRDefault="000262BE" w:rsidP="000262BE">
      <w:pPr>
        <w:pStyle w:val="NormalWeb"/>
        <w:spacing w:after="0" w:line="360" w:lineRule="auto"/>
        <w:jc w:val="center"/>
        <w:rPr>
          <w:lang w:val="en-US"/>
        </w:rPr>
      </w:pPr>
    </w:p>
    <w:p w:rsidR="000262BE" w:rsidRDefault="000262BE" w:rsidP="000262BE">
      <w:pPr>
        <w:pStyle w:val="NormalWeb"/>
        <w:spacing w:after="0" w:line="360" w:lineRule="auto"/>
        <w:jc w:val="center"/>
        <w:rPr>
          <w:lang w:val="en-GB"/>
        </w:rPr>
      </w:pPr>
    </w:p>
    <w:p w:rsidR="00B171C8" w:rsidRDefault="00B171C8" w:rsidP="000262BE">
      <w:pPr>
        <w:pStyle w:val="NormalWeb"/>
        <w:spacing w:after="0" w:line="360" w:lineRule="auto"/>
        <w:jc w:val="center"/>
        <w:rPr>
          <w:lang w:val="en-GB"/>
        </w:rPr>
      </w:pPr>
    </w:p>
    <w:p w:rsidR="000262BE" w:rsidRDefault="000262BE" w:rsidP="000262BE">
      <w:pPr>
        <w:pStyle w:val="NormalWeb"/>
        <w:spacing w:after="0" w:line="360" w:lineRule="auto"/>
        <w:jc w:val="center"/>
        <w:outlineLvl w:val="0"/>
        <w:rPr>
          <w:lang w:val="en-GB"/>
        </w:rPr>
      </w:pPr>
      <w:r>
        <w:rPr>
          <w:sz w:val="36"/>
          <w:szCs w:val="36"/>
          <w:lang w:val="en-GB"/>
        </w:rPr>
        <w:t>Marco Bartolucci</w:t>
      </w: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rPr>
          <w:lang w:val="en-GB"/>
        </w:rPr>
      </w:pPr>
    </w:p>
    <w:p w:rsidR="00B171C8" w:rsidRDefault="00B171C8" w:rsidP="000262BE">
      <w:pPr>
        <w:pStyle w:val="NormalWeb"/>
        <w:spacing w:after="0" w:line="360" w:lineRule="auto"/>
        <w:jc w:val="center"/>
        <w:rPr>
          <w:lang w:val="en-GB"/>
        </w:rPr>
      </w:pP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outlineLvl w:val="0"/>
        <w:rPr>
          <w:lang w:val="en-GB"/>
        </w:rPr>
      </w:pPr>
      <w:r>
        <w:rPr>
          <w:sz w:val="36"/>
          <w:szCs w:val="36"/>
          <w:lang w:val="en-GB"/>
        </w:rPr>
        <w:t>Royal Holloway University of London</w:t>
      </w: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rPr>
          <w:lang w:val="en-GB"/>
        </w:rPr>
      </w:pPr>
    </w:p>
    <w:p w:rsidR="000262BE" w:rsidRDefault="000262BE" w:rsidP="000262BE">
      <w:pPr>
        <w:pStyle w:val="NormalWeb"/>
        <w:spacing w:after="0" w:line="360" w:lineRule="auto"/>
        <w:jc w:val="center"/>
        <w:outlineLvl w:val="0"/>
        <w:rPr>
          <w:sz w:val="36"/>
          <w:szCs w:val="36"/>
          <w:lang w:val="en-GB"/>
        </w:rPr>
      </w:pPr>
      <w:r>
        <w:rPr>
          <w:sz w:val="36"/>
          <w:szCs w:val="36"/>
          <w:lang w:val="en-GB"/>
        </w:rPr>
        <w:t>PhD</w:t>
      </w:r>
    </w:p>
    <w:p w:rsidR="002F6313" w:rsidRDefault="002F6313">
      <w:pPr>
        <w:rPr>
          <w:rFonts w:ascii="Times New Roman" w:eastAsia="Times New Roman" w:hAnsi="Times New Roman" w:cs="Times New Roman"/>
          <w:sz w:val="36"/>
          <w:szCs w:val="36"/>
          <w:lang w:val="en-GB" w:eastAsia="it-IT"/>
        </w:rPr>
      </w:pPr>
    </w:p>
    <w:p w:rsidR="000262BE" w:rsidRDefault="000262BE" w:rsidP="000262BE">
      <w:pPr>
        <w:pStyle w:val="NormalWeb"/>
        <w:spacing w:after="0" w:line="360" w:lineRule="auto"/>
        <w:jc w:val="center"/>
        <w:outlineLvl w:val="0"/>
        <w:rPr>
          <w:lang w:val="en-GB"/>
        </w:rPr>
      </w:pPr>
      <w:r>
        <w:rPr>
          <w:sz w:val="36"/>
          <w:szCs w:val="36"/>
          <w:lang w:val="en-GB"/>
        </w:rPr>
        <w:lastRenderedPageBreak/>
        <w:t>Declaration of Authorship</w:t>
      </w:r>
    </w:p>
    <w:p w:rsidR="000262BE" w:rsidRDefault="000262BE" w:rsidP="000262BE">
      <w:pPr>
        <w:pStyle w:val="NormalWeb"/>
        <w:spacing w:after="0" w:line="360" w:lineRule="auto"/>
        <w:jc w:val="center"/>
        <w:rPr>
          <w:lang w:val="en-GB"/>
        </w:rPr>
      </w:pPr>
    </w:p>
    <w:p w:rsid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p>
    <w:p w:rsid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p>
    <w:p w:rsid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p>
    <w:p w:rsidR="000262BE" w:rsidRP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r>
        <w:rPr>
          <w:color w:val="000000"/>
          <w:lang w:val="en-GB"/>
        </w:rPr>
        <w:t xml:space="preserve">I, Marco Bartolucci, </w:t>
      </w:r>
      <w:r>
        <w:rPr>
          <w:rFonts w:ascii="Arial" w:hAnsi="Arial" w:cs="Arial"/>
          <w:color w:val="000000"/>
          <w:sz w:val="21"/>
          <w:szCs w:val="21"/>
          <w:lang w:val="en-US"/>
        </w:rPr>
        <w:t>hereby declare that this thesis and the work presented in it is entirely my own. Where I have consulted the work of others, this is always clearly stated.</w:t>
      </w:r>
    </w:p>
    <w:p w:rsidR="000262BE" w:rsidRDefault="000262BE" w:rsidP="000262BE">
      <w:pPr>
        <w:pStyle w:val="NormalWeb"/>
        <w:spacing w:after="0" w:line="360" w:lineRule="auto"/>
        <w:ind w:firstLine="708"/>
        <w:jc w:val="both"/>
        <w:rPr>
          <w:rFonts w:ascii="Arial" w:hAnsi="Arial" w:cs="Arial"/>
          <w:color w:val="000000"/>
          <w:sz w:val="21"/>
          <w:szCs w:val="21"/>
          <w:lang w:val="en-US"/>
        </w:rPr>
      </w:pPr>
    </w:p>
    <w:p w:rsidR="000262BE" w:rsidRDefault="000262BE" w:rsidP="000262BE">
      <w:pPr>
        <w:pStyle w:val="NormalWeb"/>
        <w:spacing w:after="0" w:line="360" w:lineRule="auto"/>
        <w:ind w:firstLine="708"/>
        <w:jc w:val="both"/>
        <w:outlineLvl w:val="0"/>
        <w:rPr>
          <w:rFonts w:ascii="Arial" w:hAnsi="Arial" w:cs="Arial"/>
          <w:color w:val="000000"/>
          <w:sz w:val="21"/>
          <w:szCs w:val="21"/>
          <w:lang w:val="en-US"/>
        </w:rPr>
      </w:pPr>
      <w:r>
        <w:rPr>
          <w:rFonts w:ascii="Arial" w:hAnsi="Arial" w:cs="Arial"/>
          <w:color w:val="000000"/>
          <w:sz w:val="21"/>
          <w:szCs w:val="21"/>
          <w:lang w:val="en-US"/>
        </w:rPr>
        <w:t xml:space="preserve">Signed: ______________________ </w:t>
      </w:r>
    </w:p>
    <w:p w:rsidR="000262BE" w:rsidRDefault="000262BE" w:rsidP="000262BE">
      <w:pPr>
        <w:pStyle w:val="NormalWeb"/>
        <w:spacing w:after="0" w:line="360" w:lineRule="auto"/>
        <w:ind w:firstLine="708"/>
        <w:jc w:val="both"/>
        <w:rPr>
          <w:sz w:val="36"/>
          <w:szCs w:val="36"/>
          <w:lang w:val="en-GB"/>
        </w:rPr>
      </w:pPr>
      <w:r>
        <w:rPr>
          <w:rFonts w:ascii="Arial" w:hAnsi="Arial" w:cs="Arial"/>
          <w:color w:val="000000"/>
          <w:sz w:val="21"/>
          <w:szCs w:val="21"/>
          <w:lang w:val="en-US"/>
        </w:rPr>
        <w:t>Date: ________________________</w:t>
      </w: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rPr>
          <w:sz w:val="36"/>
          <w:szCs w:val="36"/>
          <w:lang w:val="en-GB"/>
        </w:rPr>
      </w:pPr>
    </w:p>
    <w:p w:rsidR="000262BE" w:rsidRDefault="000262BE" w:rsidP="000262BE">
      <w:pPr>
        <w:pStyle w:val="NormalWeb"/>
        <w:spacing w:after="0" w:line="360" w:lineRule="auto"/>
        <w:jc w:val="center"/>
        <w:outlineLvl w:val="0"/>
        <w:rPr>
          <w:lang w:val="en-GB"/>
        </w:rPr>
      </w:pPr>
      <w:r>
        <w:rPr>
          <w:color w:val="000000"/>
          <w:sz w:val="36"/>
          <w:szCs w:val="36"/>
          <w:lang w:val="en-GB"/>
        </w:rPr>
        <w:lastRenderedPageBreak/>
        <w:t>Abstract</w:t>
      </w:r>
    </w:p>
    <w:p w:rsidR="000262BE" w:rsidRDefault="000262BE" w:rsidP="000262BE">
      <w:pPr>
        <w:pStyle w:val="NormalWeb"/>
        <w:spacing w:after="0" w:line="360" w:lineRule="auto"/>
        <w:jc w:val="center"/>
        <w:rPr>
          <w:lang w:val="en-GB"/>
        </w:rPr>
      </w:pPr>
    </w:p>
    <w:p w:rsidR="000262BE" w:rsidRPr="006E43E1" w:rsidRDefault="000262BE" w:rsidP="000262BE">
      <w:pPr>
        <w:pStyle w:val="NormalWeb"/>
        <w:spacing w:after="0" w:line="360" w:lineRule="auto"/>
        <w:ind w:firstLine="708"/>
        <w:jc w:val="both"/>
        <w:rPr>
          <w:lang w:val="en-US"/>
        </w:rPr>
      </w:pPr>
      <w:r>
        <w:rPr>
          <w:lang w:val="en-GB"/>
        </w:rPr>
        <w:t xml:space="preserve">Every day we perceive visual scenes filled with different stimuli. Visual attention allows </w:t>
      </w:r>
      <w:r>
        <w:rPr>
          <w:color w:val="000000"/>
          <w:lang w:val="en-GB"/>
        </w:rPr>
        <w:t>us to select the information that is most relevant to ongoing behaviour. The aim of this thesis is to explore how top-down modulations of activity in the human visual cortex affect perception and how attention interacts with visual processing in the brain. Specifically, we investigate the role of the modulation that occurs after a cue to attend but before onset of a visual stimulus, referred to in the literature as pre-stimulus attentional modulation, using fMRI methods alongside behavioural measurements. The main focus of the first three experiments is on the interactions between pre-stimulus attentional modulation and modulation by attention of the stimulus-evoked response. Results overall suggest that pre-stimulus activity is correlated with the effects of attention on the stimulus-evoked response and that the two attentional effects may therefore reflect a single process. The aim of the fourth experiment is to study the interaction of spatial and feature-based attention, and the results suggest that when both are engaged together, visual cortical areas do not benefit in an additive way, suggesting either that one dominates or that attentional resources saturate. The fifth experiment investigates the interaction of pre-stimulus activity with the speed and accuracy of saccade movements, and the results suggest no relation between those two processes. Finally the last two experiments focus on the role of pre-stimulus attentional modulation in perceptual learning, and the results strongly suggest that attentional modulation is involved in this process. Based on the results of these experiments, the role of pre-stimulus attentional modulation in visual processing is discussed.</w:t>
      </w: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jc w:val="center"/>
        <w:outlineLvl w:val="0"/>
        <w:rPr>
          <w:lang w:val="en-GB"/>
        </w:rPr>
      </w:pPr>
      <w:r>
        <w:rPr>
          <w:color w:val="000000"/>
          <w:sz w:val="36"/>
          <w:szCs w:val="36"/>
          <w:lang w:val="en-GB"/>
        </w:rPr>
        <w:lastRenderedPageBreak/>
        <w:t>Table of contents</w:t>
      </w:r>
    </w:p>
    <w:p w:rsidR="000262BE" w:rsidRDefault="000262BE" w:rsidP="000262BE">
      <w:pPr>
        <w:pStyle w:val="NormalWeb"/>
        <w:spacing w:after="0" w:line="360" w:lineRule="auto"/>
        <w:rPr>
          <w:lang w:val="en-GB"/>
        </w:rPr>
      </w:pPr>
    </w:p>
    <w:tbl>
      <w:tblPr>
        <w:tblStyle w:val="TableGrid"/>
        <w:tblW w:w="0" w:type="auto"/>
        <w:tblLook w:val="04A0" w:firstRow="1" w:lastRow="0" w:firstColumn="1" w:lastColumn="0" w:noHBand="0" w:noVBand="1"/>
      </w:tblPr>
      <w:tblGrid>
        <w:gridCol w:w="7864"/>
        <w:gridCol w:w="280"/>
        <w:gridCol w:w="576"/>
      </w:tblGrid>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262BE" w:rsidP="00C33992">
            <w:pPr>
              <w:pStyle w:val="NormalWeb"/>
              <w:spacing w:after="0" w:line="360" w:lineRule="auto"/>
              <w:rPr>
                <w:b/>
                <w:lang w:val="en-GB"/>
              </w:rPr>
            </w:pPr>
            <w:r>
              <w:rPr>
                <w:b/>
                <w:lang w:val="en-GB"/>
              </w:rPr>
              <w:t>Declaration of Authorship</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Web"/>
              <w:spacing w:after="0" w:line="360" w:lineRule="auto"/>
              <w:jc w:val="right"/>
              <w:rPr>
                <w:lang w:val="en-GB"/>
              </w:rPr>
            </w:pPr>
            <w:r>
              <w:rPr>
                <w:lang w:val="en-GB"/>
              </w:rPr>
              <w:t>2</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Web"/>
              <w:spacing w:after="0" w:line="360" w:lineRule="auto"/>
              <w:rPr>
                <w:b/>
                <w:lang w:val="en-GB"/>
              </w:rPr>
            </w:pPr>
            <w:r>
              <w:rPr>
                <w:b/>
                <w:lang w:val="en-GB"/>
              </w:rPr>
              <w:t>Abstract</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Web"/>
              <w:spacing w:after="0" w:line="360" w:lineRule="auto"/>
              <w:jc w:val="right"/>
              <w:rPr>
                <w:lang w:val="en-GB"/>
              </w:rPr>
            </w:pPr>
            <w:r>
              <w:rPr>
                <w:lang w:val="en-GB"/>
              </w:rPr>
              <w:t>3</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Web"/>
              <w:spacing w:after="0" w:line="360" w:lineRule="auto"/>
              <w:rPr>
                <w:b/>
                <w:lang w:val="en-GB"/>
              </w:rPr>
            </w:pPr>
            <w:r>
              <w:rPr>
                <w:b/>
                <w:lang w:val="en-GB"/>
              </w:rPr>
              <w:t>Table of contents</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Web"/>
              <w:spacing w:after="0" w:line="360" w:lineRule="auto"/>
              <w:jc w:val="right"/>
              <w:rPr>
                <w:lang w:val="en-GB"/>
              </w:rPr>
            </w:pPr>
            <w:r>
              <w:rPr>
                <w:lang w:val="en-GB"/>
              </w:rPr>
              <w:t>4</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Web"/>
              <w:spacing w:after="0" w:line="360" w:lineRule="auto"/>
              <w:rPr>
                <w:b/>
                <w:lang w:val="en-GB"/>
              </w:rPr>
            </w:pPr>
            <w:r>
              <w:rPr>
                <w:b/>
                <w:lang w:val="en-GB"/>
              </w:rPr>
              <w:t>List of figures</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5A3C11" w:rsidP="00C33992">
            <w:pPr>
              <w:pStyle w:val="NormalWeb"/>
              <w:spacing w:after="0" w:line="360" w:lineRule="auto"/>
              <w:jc w:val="right"/>
              <w:rPr>
                <w:lang w:val="en-GB"/>
              </w:rPr>
            </w:pPr>
            <w:r>
              <w:rPr>
                <w:lang w:val="en-GB"/>
              </w:rPr>
              <w:t>8</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Web"/>
              <w:spacing w:after="0" w:line="360" w:lineRule="auto"/>
              <w:rPr>
                <w:b/>
                <w:lang w:val="en-GB"/>
              </w:rPr>
            </w:pPr>
            <w:r>
              <w:rPr>
                <w:b/>
                <w:lang w:val="en-GB"/>
              </w:rPr>
              <w:t>Acknowledgments</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5A3C11" w:rsidP="00C33992">
            <w:pPr>
              <w:pStyle w:val="NormalWeb"/>
              <w:spacing w:after="0" w:line="360" w:lineRule="auto"/>
              <w:jc w:val="right"/>
              <w:rPr>
                <w:lang w:val="en-GB"/>
              </w:rPr>
            </w:pPr>
            <w:r>
              <w:rPr>
                <w:lang w:val="en-GB"/>
              </w:rPr>
              <w:t>10</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262BE" w:rsidP="00C33992">
            <w:pPr>
              <w:pStyle w:val="NormalWeb"/>
              <w:spacing w:after="0" w:line="360" w:lineRule="auto"/>
              <w:rPr>
                <w:b/>
                <w:lang w:val="en-GB"/>
              </w:rPr>
            </w:pP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tcBorders>
              <w:top w:val="single" w:sz="4" w:space="0" w:color="FFFFFF" w:themeColor="background1"/>
            </w:tcBorders>
            <w:vAlign w:val="center"/>
          </w:tcPr>
          <w:p w:rsidR="000262BE" w:rsidRPr="00C33992" w:rsidRDefault="000262BE" w:rsidP="00C33992">
            <w:pPr>
              <w:pStyle w:val="NormalWeb"/>
              <w:spacing w:after="0" w:line="360" w:lineRule="auto"/>
              <w:rPr>
                <w:b/>
                <w:lang w:val="en-GB"/>
              </w:rPr>
            </w:pPr>
            <w:r w:rsidRPr="00C33992">
              <w:rPr>
                <w:b/>
                <w:lang w:val="en-GB"/>
              </w:rPr>
              <w:t>Part 1 Attention</w:t>
            </w:r>
          </w:p>
        </w:tc>
        <w:tc>
          <w:tcPr>
            <w:tcW w:w="856" w:type="dxa"/>
            <w:gridSpan w:val="2"/>
            <w:tcBorders>
              <w:top w:val="single" w:sz="4" w:space="0" w:color="FFFFFF" w:themeColor="background1"/>
            </w:tcBorders>
            <w:vAlign w:val="center"/>
          </w:tcPr>
          <w:p w:rsidR="000262BE" w:rsidRDefault="000262BE" w:rsidP="00C33992">
            <w:pPr>
              <w:pStyle w:val="Normal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ind w:left="284"/>
              <w:rPr>
                <w:b/>
                <w:lang w:val="en-GB"/>
              </w:rPr>
            </w:pPr>
            <w:r w:rsidRPr="00C33992">
              <w:rPr>
                <w:b/>
                <w:lang w:val="en-GB"/>
              </w:rPr>
              <w:t>Chapter 1.1 Theoretical background</w:t>
            </w:r>
          </w:p>
        </w:tc>
        <w:tc>
          <w:tcPr>
            <w:tcW w:w="856" w:type="dxa"/>
            <w:gridSpan w:val="2"/>
            <w:vAlign w:val="center"/>
          </w:tcPr>
          <w:p w:rsidR="000262BE" w:rsidRDefault="00016CC8" w:rsidP="00C33992">
            <w:pPr>
              <w:pStyle w:val="NormalWeb"/>
              <w:spacing w:after="0" w:line="360" w:lineRule="auto"/>
              <w:jc w:val="right"/>
              <w:rPr>
                <w:lang w:val="en-GB"/>
              </w:rPr>
            </w:pPr>
            <w:r>
              <w:rPr>
                <w:lang w:val="en-GB"/>
              </w:rPr>
              <w:t>11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1.1.1 Arousal and attention</w:t>
            </w:r>
          </w:p>
        </w:tc>
        <w:tc>
          <w:tcPr>
            <w:tcW w:w="856" w:type="dxa"/>
            <w:gridSpan w:val="2"/>
            <w:vAlign w:val="center"/>
          </w:tcPr>
          <w:p w:rsidR="000262BE" w:rsidRDefault="00016CC8" w:rsidP="00C33992">
            <w:pPr>
              <w:pStyle w:val="NormalWeb"/>
              <w:spacing w:after="0" w:line="360" w:lineRule="auto"/>
              <w:jc w:val="right"/>
              <w:rPr>
                <w:lang w:val="en-GB"/>
              </w:rPr>
            </w:pPr>
            <w:r>
              <w:rPr>
                <w:lang w:val="en-GB"/>
              </w:rPr>
              <w:t>11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1.1.2 Theories of attention</w:t>
            </w:r>
          </w:p>
        </w:tc>
        <w:tc>
          <w:tcPr>
            <w:tcW w:w="856" w:type="dxa"/>
            <w:gridSpan w:val="2"/>
            <w:vAlign w:val="center"/>
          </w:tcPr>
          <w:p w:rsidR="000262BE" w:rsidRDefault="00016CC8" w:rsidP="00C33992">
            <w:pPr>
              <w:pStyle w:val="NormalWeb"/>
              <w:spacing w:after="0" w:line="360" w:lineRule="auto"/>
              <w:jc w:val="right"/>
              <w:rPr>
                <w:lang w:val="en-GB"/>
              </w:rPr>
            </w:pPr>
            <w:r>
              <w:rPr>
                <w:lang w:val="en-GB"/>
              </w:rPr>
              <w:t>12</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Web"/>
              <w:spacing w:after="0" w:line="360" w:lineRule="auto"/>
              <w:rPr>
                <w:lang w:val="en-GB"/>
              </w:rPr>
            </w:pPr>
            <w:r>
              <w:rPr>
                <w:lang w:val="en-GB"/>
              </w:rPr>
              <w:t>1.1.3 What is attention?</w:t>
            </w:r>
          </w:p>
        </w:tc>
        <w:tc>
          <w:tcPr>
            <w:tcW w:w="856" w:type="dxa"/>
            <w:gridSpan w:val="2"/>
            <w:vAlign w:val="center"/>
          </w:tcPr>
          <w:p w:rsidR="005A3C11" w:rsidRDefault="00016CC8" w:rsidP="00C33992">
            <w:pPr>
              <w:pStyle w:val="NormalWeb"/>
              <w:spacing w:after="0" w:line="360" w:lineRule="auto"/>
              <w:jc w:val="right"/>
              <w:rPr>
                <w:lang w:val="en-GB"/>
              </w:rPr>
            </w:pPr>
            <w:r>
              <w:rPr>
                <w:lang w:val="en-GB"/>
              </w:rPr>
              <w:t>13</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Web"/>
              <w:spacing w:after="0" w:line="360" w:lineRule="auto"/>
              <w:rPr>
                <w:lang w:val="en-GB"/>
              </w:rPr>
            </w:pPr>
            <w:r>
              <w:rPr>
                <w:lang w:val="en-GB"/>
              </w:rPr>
              <w:t>1.1.4 Selective attention</w:t>
            </w:r>
          </w:p>
        </w:tc>
        <w:tc>
          <w:tcPr>
            <w:tcW w:w="856" w:type="dxa"/>
            <w:gridSpan w:val="2"/>
            <w:vAlign w:val="center"/>
          </w:tcPr>
          <w:p w:rsidR="005A3C11" w:rsidRDefault="00016CC8" w:rsidP="007F4B6F">
            <w:pPr>
              <w:pStyle w:val="NormalWeb"/>
              <w:spacing w:after="0" w:line="360" w:lineRule="auto"/>
              <w:jc w:val="right"/>
              <w:rPr>
                <w:lang w:val="en-GB"/>
              </w:rPr>
            </w:pPr>
            <w:r>
              <w:rPr>
                <w:lang w:val="en-GB"/>
              </w:rPr>
              <w:t>1</w:t>
            </w:r>
            <w:r w:rsidR="007F4B6F">
              <w:rPr>
                <w:lang w:val="en-GB"/>
              </w:rPr>
              <w:t>3</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Web"/>
              <w:spacing w:after="0" w:line="360" w:lineRule="auto"/>
              <w:rPr>
                <w:lang w:val="en-GB"/>
              </w:rPr>
            </w:pPr>
            <w:r>
              <w:rPr>
                <w:lang w:val="en-GB"/>
              </w:rPr>
              <w:t>1.1.5 Early versus Late models of attention</w:t>
            </w:r>
          </w:p>
        </w:tc>
        <w:tc>
          <w:tcPr>
            <w:tcW w:w="856" w:type="dxa"/>
            <w:gridSpan w:val="2"/>
            <w:vAlign w:val="center"/>
          </w:tcPr>
          <w:p w:rsidR="005A3C11" w:rsidRDefault="00016CC8" w:rsidP="00C33992">
            <w:pPr>
              <w:pStyle w:val="NormalWeb"/>
              <w:spacing w:after="0" w:line="360" w:lineRule="auto"/>
              <w:jc w:val="right"/>
              <w:rPr>
                <w:lang w:val="en-GB"/>
              </w:rPr>
            </w:pPr>
            <w:r>
              <w:rPr>
                <w:lang w:val="en-GB"/>
              </w:rPr>
              <w:t>15</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1.1.6</w:t>
            </w:r>
            <w:r w:rsidR="000262BE">
              <w:rPr>
                <w:lang w:val="en-GB"/>
              </w:rPr>
              <w:t xml:space="preserve"> Types of attention</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16</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Covert vs. Overt attention</w:t>
            </w:r>
          </w:p>
        </w:tc>
        <w:tc>
          <w:tcPr>
            <w:tcW w:w="856" w:type="dxa"/>
            <w:gridSpan w:val="2"/>
            <w:vAlign w:val="center"/>
          </w:tcPr>
          <w:p w:rsidR="005A3C11" w:rsidRDefault="00016CC8" w:rsidP="00C33992">
            <w:pPr>
              <w:pStyle w:val="NormalWeb"/>
              <w:spacing w:after="0" w:line="360" w:lineRule="auto"/>
              <w:jc w:val="right"/>
              <w:rPr>
                <w:lang w:val="en-GB"/>
              </w:rPr>
            </w:pPr>
            <w:r>
              <w:rPr>
                <w:lang w:val="en-GB"/>
              </w:rPr>
              <w:t>16</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Vigilance</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17</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Visual search</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19</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6122F2">
            <w:pPr>
              <w:pStyle w:val="NormalWeb"/>
              <w:spacing w:after="0" w:line="360" w:lineRule="auto"/>
              <w:rPr>
                <w:i/>
                <w:lang w:val="en-GB"/>
              </w:rPr>
            </w:pPr>
            <w:r>
              <w:rPr>
                <w:lang w:val="en-GB"/>
              </w:rPr>
              <w:t xml:space="preserve">          </w:t>
            </w:r>
            <w:r>
              <w:rPr>
                <w:i/>
                <w:lang w:val="en-GB"/>
              </w:rPr>
              <w:t>Spatial vs. Object based attention</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20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6122F2" w:rsidRDefault="000262BE" w:rsidP="006122F2">
            <w:pPr>
              <w:pStyle w:val="NormalWeb"/>
              <w:spacing w:after="0" w:line="360" w:lineRule="auto"/>
              <w:ind w:firstLine="284"/>
              <w:rPr>
                <w:b/>
                <w:lang w:val="en-GB"/>
              </w:rPr>
            </w:pPr>
            <w:r w:rsidRPr="006122F2">
              <w:rPr>
                <w:b/>
                <w:lang w:val="en-GB"/>
              </w:rPr>
              <w:t>Chapter 1.2 Attention of the brain</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20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1.2.1 Neuroanatomy of visual attention</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21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1.2.2 Neurophysiology of visual attention</w:t>
            </w:r>
          </w:p>
        </w:tc>
        <w:tc>
          <w:tcPr>
            <w:tcW w:w="856" w:type="dxa"/>
            <w:gridSpan w:val="2"/>
            <w:vAlign w:val="center"/>
          </w:tcPr>
          <w:p w:rsidR="000262BE" w:rsidRDefault="007F4B6F" w:rsidP="000262BE">
            <w:pPr>
              <w:pStyle w:val="NormalWeb"/>
              <w:spacing w:after="0" w:line="360" w:lineRule="auto"/>
              <w:jc w:val="right"/>
              <w:rPr>
                <w:lang w:val="en-GB"/>
              </w:rPr>
            </w:pPr>
            <w:r>
              <w:rPr>
                <w:lang w:val="en-GB"/>
              </w:rPr>
              <w:t>24</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Web"/>
              <w:spacing w:after="0" w:line="360" w:lineRule="auto"/>
              <w:rPr>
                <w:lang w:val="en-GB"/>
              </w:rPr>
            </w:pPr>
            <w:r>
              <w:rPr>
                <w:lang w:val="en-GB"/>
              </w:rPr>
              <w:t>1.2.3 Electrophysiological studies of Attention</w:t>
            </w:r>
          </w:p>
        </w:tc>
        <w:tc>
          <w:tcPr>
            <w:tcW w:w="856" w:type="dxa"/>
            <w:gridSpan w:val="2"/>
            <w:vAlign w:val="center"/>
          </w:tcPr>
          <w:p w:rsidR="005A3C11" w:rsidRDefault="007F4B6F" w:rsidP="000262BE">
            <w:pPr>
              <w:pStyle w:val="NormalWeb"/>
              <w:spacing w:after="0" w:line="360" w:lineRule="auto"/>
              <w:jc w:val="right"/>
              <w:rPr>
                <w:lang w:val="en-GB"/>
              </w:rPr>
            </w:pPr>
            <w:r>
              <w:rPr>
                <w:lang w:val="en-GB"/>
              </w:rPr>
              <w:t>29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1.2.4</w:t>
            </w:r>
            <w:r w:rsidR="000262BE">
              <w:rPr>
                <w:lang w:val="en-GB"/>
              </w:rPr>
              <w:t xml:space="preserve"> fMRI of visual attention</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29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1.2.5</w:t>
            </w:r>
            <w:r w:rsidR="000262BE">
              <w:rPr>
                <w:lang w:val="en-GB"/>
              </w:rPr>
              <w:t xml:space="preserve"> Attentional modulation of visual cortex in absence of visual stimulation</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32</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1.2.6</w:t>
            </w:r>
            <w:r w:rsidR="000262BE">
              <w:rPr>
                <w:lang w:val="en-GB"/>
              </w:rPr>
              <w:t xml:space="preserve"> Attention and eye movements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36</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1.2.7</w:t>
            </w:r>
            <w:r w:rsidR="000262BE">
              <w:rPr>
                <w:lang w:val="en-GB"/>
              </w:rPr>
              <w:t xml:space="preserve"> Perceptual learning</w:t>
            </w:r>
          </w:p>
        </w:tc>
        <w:tc>
          <w:tcPr>
            <w:tcW w:w="856" w:type="dxa"/>
            <w:gridSpan w:val="2"/>
            <w:vAlign w:val="center"/>
          </w:tcPr>
          <w:p w:rsidR="000262BE" w:rsidRDefault="007F4B6F" w:rsidP="000262BE">
            <w:pPr>
              <w:pStyle w:val="NormalWeb"/>
              <w:spacing w:after="0" w:line="360" w:lineRule="auto"/>
              <w:jc w:val="right"/>
              <w:rPr>
                <w:lang w:val="en-GB"/>
              </w:rPr>
            </w:pPr>
            <w:r>
              <w:rPr>
                <w:lang w:val="en-GB"/>
              </w:rPr>
              <w:t>37</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1.2.8</w:t>
            </w:r>
            <w:r w:rsidR="000262BE">
              <w:rPr>
                <w:lang w:val="en-GB"/>
              </w:rPr>
              <w:t xml:space="preserve"> Attention and perceptual learning</w:t>
            </w:r>
          </w:p>
        </w:tc>
        <w:tc>
          <w:tcPr>
            <w:tcW w:w="856" w:type="dxa"/>
            <w:gridSpan w:val="2"/>
            <w:vAlign w:val="center"/>
          </w:tcPr>
          <w:p w:rsidR="000262BE" w:rsidRDefault="007F4B6F" w:rsidP="000262BE">
            <w:pPr>
              <w:pStyle w:val="NormalWeb"/>
              <w:spacing w:after="0" w:line="360" w:lineRule="auto"/>
              <w:jc w:val="right"/>
              <w:rPr>
                <w:lang w:val="en-GB"/>
              </w:rPr>
            </w:pPr>
            <w:r>
              <w:rPr>
                <w:lang w:val="en-GB"/>
              </w:rPr>
              <w:t>39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Web"/>
              <w:spacing w:after="0" w:line="360" w:lineRule="auto"/>
              <w:rPr>
                <w:lang w:val="en-GB"/>
              </w:rPr>
            </w:pPr>
            <w:r>
              <w:rPr>
                <w:lang w:val="en-GB"/>
              </w:rPr>
              <w:t>1.2.9</w:t>
            </w:r>
            <w:r w:rsidR="000262BE">
              <w:rPr>
                <w:lang w:val="en-GB"/>
              </w:rPr>
              <w:t xml:space="preserve"> Summary</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41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rPr>
                <w:b/>
                <w:lang w:val="en-GB"/>
              </w:rPr>
            </w:pPr>
          </w:p>
        </w:tc>
        <w:tc>
          <w:tcPr>
            <w:tcW w:w="856" w:type="dxa"/>
            <w:gridSpan w:val="2"/>
            <w:vAlign w:val="center"/>
          </w:tcPr>
          <w:p w:rsidR="000262BE" w:rsidRDefault="000262BE" w:rsidP="00C33992">
            <w:pPr>
              <w:pStyle w:val="NormalWeb"/>
              <w:spacing w:after="0" w:line="360" w:lineRule="auto"/>
              <w:jc w:val="right"/>
              <w:rPr>
                <w:lang w:val="en-GB"/>
              </w:rPr>
            </w:pP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C33992" w:rsidRDefault="005A3C11" w:rsidP="00C33992">
            <w:pPr>
              <w:pStyle w:val="NormalWeb"/>
              <w:spacing w:after="0" w:line="360" w:lineRule="auto"/>
              <w:rPr>
                <w:b/>
                <w:lang w:val="en-GB"/>
              </w:rPr>
            </w:pPr>
          </w:p>
        </w:tc>
        <w:tc>
          <w:tcPr>
            <w:tcW w:w="856" w:type="dxa"/>
            <w:gridSpan w:val="2"/>
            <w:vAlign w:val="center"/>
          </w:tcPr>
          <w:p w:rsidR="005A3C11" w:rsidRDefault="005A3C11" w:rsidP="00C33992">
            <w:pPr>
              <w:pStyle w:val="Normal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rPr>
                <w:b/>
                <w:lang w:val="en-GB"/>
              </w:rPr>
            </w:pPr>
            <w:r w:rsidRPr="00C33992">
              <w:rPr>
                <w:b/>
                <w:lang w:val="en-GB"/>
              </w:rPr>
              <w:lastRenderedPageBreak/>
              <w:t>Part 2 fMRI</w:t>
            </w:r>
          </w:p>
        </w:tc>
        <w:tc>
          <w:tcPr>
            <w:tcW w:w="856" w:type="dxa"/>
            <w:gridSpan w:val="2"/>
            <w:vAlign w:val="center"/>
          </w:tcPr>
          <w:p w:rsidR="000262BE" w:rsidRDefault="000262BE" w:rsidP="00C33992">
            <w:pPr>
              <w:pStyle w:val="Normal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ind w:left="284"/>
              <w:rPr>
                <w:b/>
                <w:lang w:val="en-GB"/>
              </w:rPr>
            </w:pPr>
            <w:r w:rsidRPr="00C33992">
              <w:rPr>
                <w:b/>
                <w:lang w:val="en-GB"/>
              </w:rPr>
              <w:t>Chapter 2.1 Introduction</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43</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2.1.1 Basis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43</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2.1.2 Outline</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44</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2.1.3 Hardware</w:t>
            </w:r>
          </w:p>
        </w:tc>
        <w:tc>
          <w:tcPr>
            <w:tcW w:w="856" w:type="dxa"/>
            <w:gridSpan w:val="2"/>
            <w:vAlign w:val="center"/>
          </w:tcPr>
          <w:p w:rsidR="000262BE" w:rsidRDefault="007F4B6F" w:rsidP="000262BE">
            <w:pPr>
              <w:pStyle w:val="NormalWeb"/>
              <w:spacing w:after="0" w:line="360" w:lineRule="auto"/>
              <w:jc w:val="right"/>
              <w:rPr>
                <w:lang w:val="en-GB"/>
              </w:rPr>
            </w:pPr>
            <w:r>
              <w:rPr>
                <w:lang w:val="en-GB"/>
              </w:rPr>
              <w:t>48</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ind w:left="284"/>
              <w:rPr>
                <w:b/>
                <w:lang w:val="en-GB"/>
              </w:rPr>
            </w:pPr>
            <w:r w:rsidRPr="00C33992">
              <w:rPr>
                <w:b/>
                <w:lang w:val="en-GB"/>
              </w:rPr>
              <w:t>Chapter 2.2 Analysis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50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2.2.1 Overview</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50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2.2.2 Constructing images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50</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Pre-processing</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51</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Slice timing corrections</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51</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 xml:space="preserve">Motion correction </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52</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sidRPr="005A3C11">
              <w:rPr>
                <w:i/>
                <w:lang w:val="en-GB"/>
              </w:rPr>
              <w:t xml:space="preserve">Spatial filtering </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53</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Temporal filtering</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54</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Web"/>
              <w:spacing w:after="0" w:line="360" w:lineRule="auto"/>
              <w:rPr>
                <w:i/>
                <w:lang w:val="en-GB"/>
              </w:rPr>
            </w:pPr>
            <w:r>
              <w:rPr>
                <w:lang w:val="en-GB"/>
              </w:rPr>
              <w:t xml:space="preserve">          </w:t>
            </w:r>
            <w:r>
              <w:rPr>
                <w:i/>
                <w:lang w:val="en-GB"/>
              </w:rPr>
              <w:t>Co-registration</w:t>
            </w:r>
          </w:p>
        </w:tc>
        <w:tc>
          <w:tcPr>
            <w:tcW w:w="856" w:type="dxa"/>
            <w:gridSpan w:val="2"/>
            <w:vAlign w:val="center"/>
          </w:tcPr>
          <w:p w:rsidR="005A3C11" w:rsidRDefault="007F4B6F" w:rsidP="00C33992">
            <w:pPr>
              <w:pStyle w:val="NormalWeb"/>
              <w:spacing w:after="0" w:line="360" w:lineRule="auto"/>
              <w:jc w:val="right"/>
              <w:rPr>
                <w:lang w:val="en-GB"/>
              </w:rPr>
            </w:pPr>
            <w:r>
              <w:rPr>
                <w:lang w:val="en-GB"/>
              </w:rPr>
              <w:t>54</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2.2.3 Retinotopic mapping</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55</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2.2.4 GLM</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58</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2.2.5 Deconvolution analysis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59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2.2.6 MVPA</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60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rPr>
                <w:b/>
                <w:lang w:val="en-GB"/>
              </w:rPr>
            </w:pPr>
          </w:p>
        </w:tc>
        <w:tc>
          <w:tcPr>
            <w:tcW w:w="856" w:type="dxa"/>
            <w:gridSpan w:val="2"/>
            <w:vAlign w:val="center"/>
          </w:tcPr>
          <w:p w:rsidR="000262BE" w:rsidRDefault="000262BE" w:rsidP="00C33992">
            <w:pPr>
              <w:pStyle w:val="Normal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rPr>
                <w:b/>
                <w:lang w:val="en-GB"/>
              </w:rPr>
            </w:pPr>
            <w:r w:rsidRPr="00C33992">
              <w:rPr>
                <w:b/>
                <w:lang w:val="en-GB"/>
              </w:rPr>
              <w:t>Part 3 Methods and results</w:t>
            </w:r>
          </w:p>
        </w:tc>
        <w:tc>
          <w:tcPr>
            <w:tcW w:w="856" w:type="dxa"/>
            <w:gridSpan w:val="2"/>
            <w:vAlign w:val="center"/>
          </w:tcPr>
          <w:p w:rsidR="000262BE" w:rsidRDefault="000262BE" w:rsidP="00C33992">
            <w:pPr>
              <w:pStyle w:val="Normal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Web"/>
              <w:spacing w:after="0" w:line="360" w:lineRule="auto"/>
              <w:ind w:left="284"/>
              <w:rPr>
                <w:b/>
                <w:lang w:val="en-GB"/>
              </w:rPr>
            </w:pPr>
            <w:r w:rsidRPr="00C33992">
              <w:rPr>
                <w:b/>
                <w:lang w:val="en-GB"/>
              </w:rPr>
              <w:t>Chapter 3.1 General methods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62</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3.1.1 Apparatus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62</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Web"/>
              <w:spacing w:after="0" w:line="360" w:lineRule="auto"/>
              <w:rPr>
                <w:lang w:val="en-GB"/>
              </w:rPr>
            </w:pPr>
            <w:r>
              <w:rPr>
                <w:lang w:val="en-GB"/>
              </w:rPr>
              <w:t>3.1.2 Standard procedures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63</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7864" w:type="dxa"/>
            <w:vAlign w:val="center"/>
          </w:tcPr>
          <w:p w:rsidR="000262BE" w:rsidRDefault="000262BE" w:rsidP="00C33992">
            <w:pPr>
              <w:pStyle w:val="NormalWeb"/>
              <w:spacing w:after="0" w:line="360" w:lineRule="auto"/>
              <w:rPr>
                <w:lang w:val="en-GB"/>
              </w:rPr>
            </w:pPr>
            <w:r>
              <w:rPr>
                <w:lang w:val="en-GB"/>
              </w:rPr>
              <w:t>3.1.3 Analysis</w:t>
            </w:r>
          </w:p>
        </w:tc>
        <w:tc>
          <w:tcPr>
            <w:tcW w:w="856" w:type="dxa"/>
            <w:gridSpan w:val="2"/>
            <w:vAlign w:val="center"/>
          </w:tcPr>
          <w:p w:rsidR="000262BE" w:rsidRDefault="007F4B6F" w:rsidP="00C33992">
            <w:pPr>
              <w:pStyle w:val="NormalWeb"/>
              <w:spacing w:after="0" w:line="360" w:lineRule="auto"/>
              <w:jc w:val="right"/>
              <w:rPr>
                <w:lang w:val="en-GB"/>
              </w:rPr>
            </w:pPr>
            <w:r>
              <w:rPr>
                <w:lang w:val="en-GB"/>
              </w:rPr>
              <w:t>64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8"/>
        </w:trPr>
        <w:tc>
          <w:tcPr>
            <w:tcW w:w="8720" w:type="dxa"/>
            <w:gridSpan w:val="3"/>
            <w:vAlign w:val="center"/>
          </w:tcPr>
          <w:p w:rsidR="00A11513" w:rsidRDefault="00A11513" w:rsidP="006122F2">
            <w:pPr>
              <w:pStyle w:val="NormalWeb"/>
              <w:spacing w:after="0" w:line="360" w:lineRule="auto"/>
              <w:ind w:firstLine="284"/>
              <w:rPr>
                <w:lang w:val="en-GB"/>
              </w:rPr>
            </w:pPr>
            <w:r w:rsidRPr="00C33992">
              <w:rPr>
                <w:b/>
                <w:lang w:val="en-GB"/>
              </w:rPr>
              <w:t>Chapter 3.2 Experiment 1</w:t>
            </w:r>
          </w:p>
        </w:tc>
      </w:tr>
      <w:tr w:rsidR="006122F2"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6122F2" w:rsidRDefault="006122F2" w:rsidP="006122F2">
            <w:pPr>
              <w:pStyle w:val="NormalWeb"/>
              <w:spacing w:after="0" w:line="360" w:lineRule="auto"/>
              <w:jc w:val="both"/>
              <w:rPr>
                <w:lang w:val="en-GB"/>
              </w:rPr>
            </w:pPr>
            <w:r>
              <w:rPr>
                <w:b/>
                <w:lang w:val="en-GB"/>
              </w:rPr>
              <w:t>Dissociating Prestimulus activity and stimulus evoked enhanced response (1)</w:t>
            </w:r>
          </w:p>
        </w:tc>
        <w:tc>
          <w:tcPr>
            <w:tcW w:w="576" w:type="dxa"/>
            <w:vAlign w:val="center"/>
          </w:tcPr>
          <w:p w:rsidR="006122F2" w:rsidRPr="006122F2" w:rsidRDefault="007F4B6F" w:rsidP="00C33992">
            <w:pPr>
              <w:pStyle w:val="NormalWeb"/>
              <w:spacing w:after="0" w:line="360" w:lineRule="auto"/>
              <w:jc w:val="right"/>
              <w:rPr>
                <w:lang w:val="en-GB"/>
              </w:rPr>
            </w:pPr>
            <w:r>
              <w:rPr>
                <w:lang w:val="en-GB"/>
              </w:rPr>
              <w:t>67</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262BE" w:rsidRDefault="000262BE" w:rsidP="00C33992">
            <w:pPr>
              <w:pStyle w:val="NormalWeb"/>
              <w:spacing w:after="0" w:line="360" w:lineRule="auto"/>
              <w:rPr>
                <w:lang w:val="en-GB"/>
              </w:rPr>
            </w:pPr>
            <w:r>
              <w:rPr>
                <w:lang w:val="en-GB"/>
              </w:rPr>
              <w:t>3.2.1 Introduction</w:t>
            </w:r>
          </w:p>
        </w:tc>
        <w:tc>
          <w:tcPr>
            <w:tcW w:w="576" w:type="dxa"/>
            <w:vAlign w:val="center"/>
          </w:tcPr>
          <w:p w:rsidR="000262BE" w:rsidRDefault="007F4B6F" w:rsidP="00C33992">
            <w:pPr>
              <w:pStyle w:val="NormalWeb"/>
              <w:spacing w:after="0" w:line="360" w:lineRule="auto"/>
              <w:jc w:val="right"/>
              <w:rPr>
                <w:lang w:val="en-GB"/>
              </w:rPr>
            </w:pPr>
            <w:r>
              <w:rPr>
                <w:lang w:val="en-GB"/>
              </w:rPr>
              <w:t>67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3.2.2 Methods</w:t>
            </w:r>
          </w:p>
        </w:tc>
        <w:tc>
          <w:tcPr>
            <w:tcW w:w="576" w:type="dxa"/>
            <w:vAlign w:val="center"/>
          </w:tcPr>
          <w:p w:rsidR="00A11513" w:rsidRDefault="007F4B6F" w:rsidP="00C33992">
            <w:pPr>
              <w:pStyle w:val="NormalWeb"/>
              <w:spacing w:after="0" w:line="360" w:lineRule="auto"/>
              <w:jc w:val="right"/>
              <w:rPr>
                <w:lang w:val="en-GB"/>
              </w:rPr>
            </w:pPr>
            <w:r>
              <w:rPr>
                <w:lang w:val="en-GB"/>
              </w:rPr>
              <w:t>68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3.2.3 Results</w:t>
            </w:r>
          </w:p>
        </w:tc>
        <w:tc>
          <w:tcPr>
            <w:tcW w:w="576" w:type="dxa"/>
            <w:vAlign w:val="center"/>
          </w:tcPr>
          <w:p w:rsidR="00A11513" w:rsidRDefault="007F4B6F" w:rsidP="00C33992">
            <w:pPr>
              <w:pStyle w:val="NormalWeb"/>
              <w:spacing w:after="0" w:line="360" w:lineRule="auto"/>
              <w:jc w:val="right"/>
              <w:rPr>
                <w:lang w:val="en-GB"/>
              </w:rPr>
            </w:pPr>
            <w:r>
              <w:rPr>
                <w:lang w:val="en-GB"/>
              </w:rPr>
              <w:t>71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3.2.4 Discussion</w:t>
            </w:r>
          </w:p>
        </w:tc>
        <w:tc>
          <w:tcPr>
            <w:tcW w:w="576" w:type="dxa"/>
            <w:vAlign w:val="center"/>
          </w:tcPr>
          <w:p w:rsidR="00A11513" w:rsidRDefault="007F4B6F" w:rsidP="00C33992">
            <w:pPr>
              <w:pStyle w:val="NormalWeb"/>
              <w:spacing w:after="0" w:line="360" w:lineRule="auto"/>
              <w:jc w:val="right"/>
              <w:rPr>
                <w:lang w:val="en-GB"/>
              </w:rPr>
            </w:pPr>
            <w:r>
              <w:rPr>
                <w:lang w:val="en-GB"/>
              </w:rPr>
              <w:t>76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016CC8">
            <w:pPr>
              <w:pStyle w:val="NormalWeb"/>
              <w:spacing w:after="0" w:line="360" w:lineRule="auto"/>
              <w:rPr>
                <w:b/>
                <w:lang w:val="en-GB"/>
              </w:rPr>
            </w:pPr>
            <w:r w:rsidRPr="00C33992">
              <w:rPr>
                <w:b/>
                <w:lang w:val="en-GB"/>
              </w:rPr>
              <w:t>Chapter 3.3 Experiment 2</w:t>
            </w:r>
          </w:p>
        </w:tc>
        <w:tc>
          <w:tcPr>
            <w:tcW w:w="576" w:type="dxa"/>
            <w:vAlign w:val="center"/>
          </w:tcPr>
          <w:p w:rsidR="00A11513" w:rsidRDefault="00A11513" w:rsidP="00C33992">
            <w:pPr>
              <w:pStyle w:val="Normal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Web"/>
              <w:spacing w:after="0" w:line="360" w:lineRule="auto"/>
              <w:rPr>
                <w:b/>
                <w:lang w:val="en-GB"/>
              </w:rPr>
            </w:pPr>
            <w:r>
              <w:rPr>
                <w:b/>
                <w:lang w:val="en-GB"/>
              </w:rPr>
              <w:t>Dissociating Prestimulus activity and stimulus evoked enhanced response (2)</w:t>
            </w:r>
          </w:p>
        </w:tc>
        <w:tc>
          <w:tcPr>
            <w:tcW w:w="576" w:type="dxa"/>
            <w:vAlign w:val="center"/>
          </w:tcPr>
          <w:p w:rsidR="00016CC8" w:rsidRDefault="007F4B6F" w:rsidP="00C33992">
            <w:pPr>
              <w:pStyle w:val="NormalWeb"/>
              <w:spacing w:after="0" w:line="360" w:lineRule="auto"/>
              <w:jc w:val="right"/>
              <w:rPr>
                <w:lang w:val="en-GB"/>
              </w:rPr>
            </w:pPr>
            <w:r>
              <w:rPr>
                <w:lang w:val="en-GB"/>
              </w:rPr>
              <w:t>78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3.3.1 Introduction</w:t>
            </w:r>
          </w:p>
        </w:tc>
        <w:tc>
          <w:tcPr>
            <w:tcW w:w="576" w:type="dxa"/>
            <w:vAlign w:val="center"/>
          </w:tcPr>
          <w:p w:rsidR="00A11513" w:rsidRDefault="007F4B6F" w:rsidP="00C33992">
            <w:pPr>
              <w:pStyle w:val="NormalWeb"/>
              <w:spacing w:after="0" w:line="360" w:lineRule="auto"/>
              <w:jc w:val="right"/>
              <w:rPr>
                <w:lang w:val="en-GB"/>
              </w:rPr>
            </w:pPr>
            <w:r>
              <w:rPr>
                <w:lang w:val="en-GB"/>
              </w:rPr>
              <w:t>78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3.3.2 Methods</w:t>
            </w:r>
          </w:p>
        </w:tc>
        <w:tc>
          <w:tcPr>
            <w:tcW w:w="576" w:type="dxa"/>
            <w:vAlign w:val="center"/>
          </w:tcPr>
          <w:p w:rsidR="00A11513" w:rsidRDefault="007F4B6F" w:rsidP="00C33992">
            <w:pPr>
              <w:pStyle w:val="NormalWeb"/>
              <w:spacing w:after="0" w:line="360" w:lineRule="auto"/>
              <w:jc w:val="right"/>
              <w:rPr>
                <w:lang w:val="en-GB"/>
              </w:rPr>
            </w:pPr>
            <w:r>
              <w:rPr>
                <w:lang w:val="en-GB"/>
              </w:rPr>
              <w:t>78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lastRenderedPageBreak/>
              <w:t>3.3.3 Results</w:t>
            </w:r>
          </w:p>
        </w:tc>
        <w:tc>
          <w:tcPr>
            <w:tcW w:w="576" w:type="dxa"/>
            <w:vAlign w:val="center"/>
          </w:tcPr>
          <w:p w:rsidR="00A11513" w:rsidRDefault="007F4B6F" w:rsidP="00C33992">
            <w:pPr>
              <w:pStyle w:val="NormalWeb"/>
              <w:spacing w:after="0" w:line="360" w:lineRule="auto"/>
              <w:jc w:val="right"/>
              <w:rPr>
                <w:lang w:val="en-GB"/>
              </w:rPr>
            </w:pPr>
            <w:r>
              <w:rPr>
                <w:lang w:val="en-GB"/>
              </w:rPr>
              <w:t>81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3.3.4 Discussion</w:t>
            </w:r>
          </w:p>
        </w:tc>
        <w:tc>
          <w:tcPr>
            <w:tcW w:w="576" w:type="dxa"/>
            <w:vAlign w:val="center"/>
          </w:tcPr>
          <w:p w:rsidR="00A11513" w:rsidRDefault="007F4B6F" w:rsidP="00C33992">
            <w:pPr>
              <w:pStyle w:val="NormalWeb"/>
              <w:spacing w:after="0" w:line="360" w:lineRule="auto"/>
              <w:jc w:val="right"/>
              <w:rPr>
                <w:lang w:val="en-GB"/>
              </w:rPr>
            </w:pPr>
            <w:r>
              <w:rPr>
                <w:lang w:val="en-GB"/>
              </w:rPr>
              <w:t>83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Pr="00C33992" w:rsidRDefault="00A11513" w:rsidP="00016CC8">
            <w:pPr>
              <w:pStyle w:val="NormalWeb"/>
              <w:spacing w:after="0" w:line="360" w:lineRule="auto"/>
              <w:rPr>
                <w:b/>
                <w:lang w:val="en-GB"/>
              </w:rPr>
            </w:pPr>
            <w:r w:rsidRPr="00C33992">
              <w:rPr>
                <w:b/>
                <w:lang w:val="en-GB"/>
              </w:rPr>
              <w:t>Chapter 3.4 Experiment 3</w:t>
            </w:r>
          </w:p>
        </w:tc>
        <w:tc>
          <w:tcPr>
            <w:tcW w:w="576" w:type="dxa"/>
            <w:vAlign w:val="center"/>
          </w:tcPr>
          <w:p w:rsidR="00A11513" w:rsidRDefault="00A11513" w:rsidP="00C33992">
            <w:pPr>
              <w:pStyle w:val="Normal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016CC8" w:rsidRPr="00C33992" w:rsidRDefault="00016CC8" w:rsidP="00016CC8">
            <w:pPr>
              <w:pStyle w:val="NormalWeb"/>
              <w:spacing w:after="0" w:line="360" w:lineRule="auto"/>
              <w:rPr>
                <w:b/>
                <w:lang w:val="en-GB"/>
              </w:rPr>
            </w:pPr>
            <w:r>
              <w:rPr>
                <w:b/>
                <w:lang w:val="en-GB"/>
              </w:rPr>
              <w:t>Dissociating Prestimulus activity and stimulus evoked enhanced response (3)</w:t>
            </w:r>
          </w:p>
        </w:tc>
        <w:tc>
          <w:tcPr>
            <w:tcW w:w="576" w:type="dxa"/>
            <w:vAlign w:val="center"/>
          </w:tcPr>
          <w:p w:rsidR="00016CC8" w:rsidRDefault="007F4B6F" w:rsidP="00C33992">
            <w:pPr>
              <w:pStyle w:val="NormalWeb"/>
              <w:spacing w:after="0" w:line="360" w:lineRule="auto"/>
              <w:jc w:val="right"/>
              <w:rPr>
                <w:lang w:val="en-GB"/>
              </w:rPr>
            </w:pPr>
            <w:r>
              <w:rPr>
                <w:lang w:val="en-GB"/>
              </w:rPr>
              <w:t>85</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3.4.1 Pilot 1 methods</w:t>
            </w:r>
          </w:p>
        </w:tc>
        <w:tc>
          <w:tcPr>
            <w:tcW w:w="576" w:type="dxa"/>
            <w:vAlign w:val="center"/>
          </w:tcPr>
          <w:p w:rsidR="00A11513" w:rsidRDefault="007F4B6F" w:rsidP="00C33992">
            <w:pPr>
              <w:pStyle w:val="NormalWeb"/>
              <w:spacing w:after="0" w:line="360" w:lineRule="auto"/>
              <w:jc w:val="right"/>
              <w:rPr>
                <w:lang w:val="en-GB"/>
              </w:rPr>
            </w:pPr>
            <w:r>
              <w:rPr>
                <w:lang w:val="en-GB"/>
              </w:rPr>
              <w:t>85</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3.4.2 Pilot 2 results</w:t>
            </w:r>
          </w:p>
        </w:tc>
        <w:tc>
          <w:tcPr>
            <w:tcW w:w="576" w:type="dxa"/>
            <w:vAlign w:val="center"/>
          </w:tcPr>
          <w:p w:rsidR="00A11513" w:rsidRDefault="007F4B6F" w:rsidP="00C33992">
            <w:pPr>
              <w:pStyle w:val="NormalWeb"/>
              <w:spacing w:after="0" w:line="360" w:lineRule="auto"/>
              <w:jc w:val="right"/>
              <w:rPr>
                <w:lang w:val="en-GB"/>
              </w:rPr>
            </w:pPr>
            <w:r>
              <w:rPr>
                <w:lang w:val="en-GB"/>
              </w:rPr>
              <w:t>86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3.4.3 Pilot 2 methods</w:t>
            </w:r>
          </w:p>
        </w:tc>
        <w:tc>
          <w:tcPr>
            <w:tcW w:w="576" w:type="dxa"/>
            <w:vAlign w:val="center"/>
          </w:tcPr>
          <w:p w:rsidR="00A11513" w:rsidRDefault="007F4B6F" w:rsidP="00C33992">
            <w:pPr>
              <w:pStyle w:val="NormalWeb"/>
              <w:spacing w:after="0" w:line="360" w:lineRule="auto"/>
              <w:jc w:val="right"/>
              <w:rPr>
                <w:lang w:val="en-GB"/>
              </w:rPr>
            </w:pPr>
            <w:r>
              <w:rPr>
                <w:lang w:val="en-GB"/>
              </w:rPr>
              <w:t>87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3.4.4 Pilot 2 results</w:t>
            </w:r>
          </w:p>
        </w:tc>
        <w:tc>
          <w:tcPr>
            <w:tcW w:w="576" w:type="dxa"/>
            <w:vAlign w:val="center"/>
          </w:tcPr>
          <w:p w:rsidR="00A11513" w:rsidRDefault="007F4B6F" w:rsidP="00C33992">
            <w:pPr>
              <w:pStyle w:val="NormalWeb"/>
              <w:spacing w:after="0" w:line="360" w:lineRule="auto"/>
              <w:jc w:val="right"/>
              <w:rPr>
                <w:lang w:val="en-GB"/>
              </w:rPr>
            </w:pPr>
            <w:r>
              <w:rPr>
                <w:lang w:val="en-GB"/>
              </w:rPr>
              <w:t>88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3.4.5 Main experiment methods</w:t>
            </w:r>
          </w:p>
        </w:tc>
        <w:tc>
          <w:tcPr>
            <w:tcW w:w="576" w:type="dxa"/>
            <w:vAlign w:val="center"/>
          </w:tcPr>
          <w:p w:rsidR="00A11513" w:rsidRDefault="007F4B6F" w:rsidP="00C33992">
            <w:pPr>
              <w:pStyle w:val="NormalWeb"/>
              <w:spacing w:after="0" w:line="360" w:lineRule="auto"/>
              <w:jc w:val="right"/>
              <w:rPr>
                <w:lang w:val="en-GB"/>
              </w:rPr>
            </w:pPr>
            <w:r>
              <w:rPr>
                <w:lang w:val="en-GB"/>
              </w:rPr>
              <w:t>89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3.4.6 Results</w:t>
            </w:r>
          </w:p>
        </w:tc>
        <w:tc>
          <w:tcPr>
            <w:tcW w:w="576" w:type="dxa"/>
            <w:vAlign w:val="center"/>
          </w:tcPr>
          <w:p w:rsidR="00A11513" w:rsidRDefault="007F4B6F" w:rsidP="00C33992">
            <w:pPr>
              <w:pStyle w:val="NormalWeb"/>
              <w:spacing w:after="0" w:line="360" w:lineRule="auto"/>
              <w:jc w:val="right"/>
              <w:rPr>
                <w:lang w:val="en-GB"/>
              </w:rPr>
            </w:pPr>
            <w:r>
              <w:rPr>
                <w:lang w:val="en-GB"/>
              </w:rPr>
              <w:t>91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3.4.7 Discussion</w:t>
            </w:r>
          </w:p>
        </w:tc>
        <w:tc>
          <w:tcPr>
            <w:tcW w:w="576" w:type="dxa"/>
            <w:vAlign w:val="center"/>
          </w:tcPr>
          <w:p w:rsidR="00A11513" w:rsidRDefault="007F4B6F" w:rsidP="00C33992">
            <w:pPr>
              <w:pStyle w:val="NormalWeb"/>
              <w:spacing w:after="0" w:line="360" w:lineRule="auto"/>
              <w:jc w:val="right"/>
              <w:rPr>
                <w:lang w:val="en-GB"/>
              </w:rPr>
            </w:pPr>
            <w:r>
              <w:rPr>
                <w:lang w:val="en-GB"/>
              </w:rPr>
              <w:t>92</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016CC8">
            <w:pPr>
              <w:pStyle w:val="NormalWeb"/>
              <w:spacing w:after="0" w:line="360" w:lineRule="auto"/>
              <w:rPr>
                <w:b/>
                <w:lang w:val="en-GB"/>
              </w:rPr>
            </w:pPr>
            <w:r w:rsidRPr="00C33992">
              <w:rPr>
                <w:b/>
                <w:lang w:val="en-GB"/>
              </w:rPr>
              <w:t>Chapter 3.5 Experiment 4</w:t>
            </w:r>
          </w:p>
        </w:tc>
        <w:tc>
          <w:tcPr>
            <w:tcW w:w="576" w:type="dxa"/>
            <w:vAlign w:val="center"/>
          </w:tcPr>
          <w:p w:rsidR="00A11513" w:rsidRDefault="00A11513" w:rsidP="00C33992">
            <w:pPr>
              <w:pStyle w:val="Normal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Web"/>
              <w:spacing w:after="0" w:line="360" w:lineRule="auto"/>
              <w:rPr>
                <w:b/>
                <w:lang w:val="en-GB"/>
              </w:rPr>
            </w:pPr>
            <w:r>
              <w:rPr>
                <w:b/>
                <w:color w:val="000000"/>
                <w:lang w:val="en-GB"/>
              </w:rPr>
              <w:t>Combining feature based and spatial location based prestimulus attentional modulation</w:t>
            </w:r>
          </w:p>
        </w:tc>
        <w:tc>
          <w:tcPr>
            <w:tcW w:w="576" w:type="dxa"/>
            <w:vAlign w:val="center"/>
          </w:tcPr>
          <w:p w:rsidR="00016CC8" w:rsidRDefault="007F4B6F" w:rsidP="00C33992">
            <w:pPr>
              <w:pStyle w:val="NormalWeb"/>
              <w:spacing w:after="0" w:line="360" w:lineRule="auto"/>
              <w:jc w:val="right"/>
              <w:rPr>
                <w:lang w:val="en-GB"/>
              </w:rPr>
            </w:pPr>
            <w:r>
              <w:rPr>
                <w:lang w:val="en-GB"/>
              </w:rPr>
              <w:t>93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3.5.1 Introduction</w:t>
            </w:r>
          </w:p>
        </w:tc>
        <w:tc>
          <w:tcPr>
            <w:tcW w:w="576" w:type="dxa"/>
            <w:vAlign w:val="center"/>
          </w:tcPr>
          <w:p w:rsidR="00A11513" w:rsidRDefault="007F4B6F" w:rsidP="00C33992">
            <w:pPr>
              <w:pStyle w:val="NormalWeb"/>
              <w:spacing w:after="0" w:line="360" w:lineRule="auto"/>
              <w:jc w:val="right"/>
              <w:rPr>
                <w:lang w:val="en-GB"/>
              </w:rPr>
            </w:pPr>
            <w:r>
              <w:rPr>
                <w:lang w:val="en-GB"/>
              </w:rPr>
              <w:t>93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3.5.2 Methods</w:t>
            </w:r>
          </w:p>
        </w:tc>
        <w:tc>
          <w:tcPr>
            <w:tcW w:w="576" w:type="dxa"/>
            <w:vAlign w:val="center"/>
          </w:tcPr>
          <w:p w:rsidR="00A11513" w:rsidRDefault="007F4B6F" w:rsidP="00C33992">
            <w:pPr>
              <w:pStyle w:val="NormalWeb"/>
              <w:spacing w:after="0" w:line="360" w:lineRule="auto"/>
              <w:jc w:val="right"/>
              <w:rPr>
                <w:lang w:val="en-GB"/>
              </w:rPr>
            </w:pPr>
            <w:r>
              <w:rPr>
                <w:lang w:val="en-GB"/>
              </w:rPr>
              <w:t>95</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3.5.3 Results</w:t>
            </w:r>
          </w:p>
        </w:tc>
        <w:tc>
          <w:tcPr>
            <w:tcW w:w="576" w:type="dxa"/>
            <w:vAlign w:val="center"/>
          </w:tcPr>
          <w:p w:rsidR="00A11513" w:rsidRDefault="007F4B6F" w:rsidP="00C33992">
            <w:pPr>
              <w:pStyle w:val="NormalWeb"/>
              <w:spacing w:after="0" w:line="360" w:lineRule="auto"/>
              <w:jc w:val="right"/>
              <w:rPr>
                <w:lang w:val="en-GB"/>
              </w:rPr>
            </w:pPr>
            <w:r>
              <w:rPr>
                <w:lang w:val="en-GB"/>
              </w:rPr>
              <w:t>97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3.5.4 Discussion</w:t>
            </w:r>
          </w:p>
        </w:tc>
        <w:tc>
          <w:tcPr>
            <w:tcW w:w="576" w:type="dxa"/>
            <w:vAlign w:val="center"/>
          </w:tcPr>
          <w:p w:rsidR="00A11513" w:rsidRDefault="007F4B6F" w:rsidP="00C33992">
            <w:pPr>
              <w:pStyle w:val="NormalWeb"/>
              <w:spacing w:after="0" w:line="360" w:lineRule="auto"/>
              <w:jc w:val="right"/>
              <w:rPr>
                <w:lang w:val="en-GB"/>
              </w:rPr>
            </w:pPr>
            <w:r>
              <w:rPr>
                <w:lang w:val="en-GB"/>
              </w:rPr>
              <w:t>99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Pr="00C33992" w:rsidRDefault="00A11513" w:rsidP="00016CC8">
            <w:pPr>
              <w:pStyle w:val="NormalWeb"/>
              <w:spacing w:after="0" w:line="360" w:lineRule="auto"/>
              <w:rPr>
                <w:b/>
                <w:lang w:val="en-GB"/>
              </w:rPr>
            </w:pPr>
            <w:r w:rsidRPr="00C33992">
              <w:rPr>
                <w:b/>
                <w:lang w:val="en-GB"/>
              </w:rPr>
              <w:t>Chapter 3.6 Experiment 5</w:t>
            </w:r>
          </w:p>
        </w:tc>
        <w:tc>
          <w:tcPr>
            <w:tcW w:w="576" w:type="dxa"/>
            <w:vAlign w:val="center"/>
          </w:tcPr>
          <w:p w:rsidR="00A11513" w:rsidRDefault="00A11513" w:rsidP="00C33992">
            <w:pPr>
              <w:pStyle w:val="Normal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016CC8" w:rsidRPr="00C33992" w:rsidRDefault="00016CC8" w:rsidP="00016CC8">
            <w:pPr>
              <w:pStyle w:val="NormalWeb"/>
              <w:spacing w:after="0" w:line="360" w:lineRule="auto"/>
              <w:rPr>
                <w:b/>
                <w:lang w:val="en-GB"/>
              </w:rPr>
            </w:pPr>
            <w:r>
              <w:rPr>
                <w:b/>
                <w:lang w:val="en-GB"/>
              </w:rPr>
              <w:t>Attentional prestimulus activity and eye movements</w:t>
            </w:r>
          </w:p>
        </w:tc>
        <w:tc>
          <w:tcPr>
            <w:tcW w:w="576" w:type="dxa"/>
            <w:vAlign w:val="center"/>
          </w:tcPr>
          <w:p w:rsidR="00016CC8" w:rsidRDefault="007F4B6F" w:rsidP="00C33992">
            <w:pPr>
              <w:pStyle w:val="NormalWeb"/>
              <w:spacing w:after="0" w:line="360" w:lineRule="auto"/>
              <w:jc w:val="right"/>
              <w:rPr>
                <w:lang w:val="en-GB"/>
              </w:rPr>
            </w:pPr>
            <w:r>
              <w:rPr>
                <w:lang w:val="en-GB"/>
              </w:rPr>
              <w:t>100</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3.6.1 Introduction</w:t>
            </w:r>
          </w:p>
        </w:tc>
        <w:tc>
          <w:tcPr>
            <w:tcW w:w="576" w:type="dxa"/>
            <w:vAlign w:val="center"/>
          </w:tcPr>
          <w:p w:rsidR="00A11513" w:rsidRDefault="007F4B6F" w:rsidP="00016CC8">
            <w:pPr>
              <w:pStyle w:val="NormalWeb"/>
              <w:spacing w:after="0" w:line="360" w:lineRule="auto"/>
              <w:jc w:val="right"/>
              <w:rPr>
                <w:lang w:val="en-GB"/>
              </w:rPr>
            </w:pPr>
            <w:r>
              <w:rPr>
                <w:lang w:val="en-GB"/>
              </w:rPr>
              <w:t>100</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3.6.2 Methods</w:t>
            </w:r>
          </w:p>
        </w:tc>
        <w:tc>
          <w:tcPr>
            <w:tcW w:w="576" w:type="dxa"/>
            <w:vAlign w:val="center"/>
          </w:tcPr>
          <w:p w:rsidR="00A11513" w:rsidRDefault="007F4B6F" w:rsidP="00C33992">
            <w:pPr>
              <w:pStyle w:val="NormalWeb"/>
              <w:spacing w:after="0" w:line="360" w:lineRule="auto"/>
              <w:jc w:val="right"/>
              <w:rPr>
                <w:lang w:val="en-GB"/>
              </w:rPr>
            </w:pPr>
            <w:r>
              <w:rPr>
                <w:lang w:val="en-GB"/>
              </w:rPr>
              <w:t>101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3.6.3 Results</w:t>
            </w:r>
          </w:p>
        </w:tc>
        <w:tc>
          <w:tcPr>
            <w:tcW w:w="576" w:type="dxa"/>
            <w:vAlign w:val="center"/>
          </w:tcPr>
          <w:p w:rsidR="00A11513" w:rsidRDefault="007F4B6F" w:rsidP="00C33992">
            <w:pPr>
              <w:pStyle w:val="NormalWeb"/>
              <w:spacing w:after="0" w:line="360" w:lineRule="auto"/>
              <w:jc w:val="right"/>
              <w:rPr>
                <w:lang w:val="en-GB"/>
              </w:rPr>
            </w:pPr>
            <w:r>
              <w:rPr>
                <w:lang w:val="en-GB"/>
              </w:rPr>
              <w:t>104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3.6.4 Discussion</w:t>
            </w:r>
          </w:p>
        </w:tc>
        <w:tc>
          <w:tcPr>
            <w:tcW w:w="576" w:type="dxa"/>
            <w:vAlign w:val="center"/>
          </w:tcPr>
          <w:p w:rsidR="00A11513" w:rsidRDefault="007F4B6F" w:rsidP="00C33992">
            <w:pPr>
              <w:pStyle w:val="NormalWeb"/>
              <w:spacing w:after="0" w:line="360" w:lineRule="auto"/>
              <w:jc w:val="right"/>
              <w:rPr>
                <w:lang w:val="en-GB"/>
              </w:rPr>
            </w:pPr>
            <w:r>
              <w:rPr>
                <w:lang w:val="en-GB"/>
              </w:rPr>
              <w:t>106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016CC8">
            <w:pPr>
              <w:pStyle w:val="NormalWeb"/>
              <w:spacing w:after="0" w:line="360" w:lineRule="auto"/>
              <w:rPr>
                <w:b/>
                <w:lang w:val="en-GB"/>
              </w:rPr>
            </w:pPr>
            <w:r w:rsidRPr="00C33992">
              <w:rPr>
                <w:b/>
                <w:lang w:val="en-GB"/>
              </w:rPr>
              <w:t>Chapter 3.7 Experiment 6</w:t>
            </w:r>
          </w:p>
        </w:tc>
        <w:tc>
          <w:tcPr>
            <w:tcW w:w="576" w:type="dxa"/>
            <w:vAlign w:val="center"/>
          </w:tcPr>
          <w:p w:rsidR="00A11513" w:rsidRDefault="00A11513" w:rsidP="00C33992">
            <w:pPr>
              <w:pStyle w:val="Normal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Web"/>
              <w:spacing w:after="0" w:line="360" w:lineRule="auto"/>
              <w:rPr>
                <w:b/>
                <w:lang w:val="en-GB"/>
              </w:rPr>
            </w:pPr>
            <w:r>
              <w:rPr>
                <w:b/>
                <w:lang w:val="en-GB"/>
              </w:rPr>
              <w:t>Attentional modulation in visual cortex is modified during perceptual learning</w:t>
            </w:r>
          </w:p>
        </w:tc>
        <w:tc>
          <w:tcPr>
            <w:tcW w:w="576" w:type="dxa"/>
            <w:vAlign w:val="center"/>
          </w:tcPr>
          <w:p w:rsidR="00016CC8" w:rsidRDefault="007F4B6F" w:rsidP="00C33992">
            <w:pPr>
              <w:pStyle w:val="NormalWeb"/>
              <w:spacing w:after="0" w:line="360" w:lineRule="auto"/>
              <w:jc w:val="right"/>
              <w:rPr>
                <w:lang w:val="en-GB"/>
              </w:rPr>
            </w:pPr>
            <w:r>
              <w:rPr>
                <w:lang w:val="en-GB"/>
              </w:rPr>
              <w:t>108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0262BE">
            <w:pPr>
              <w:pStyle w:val="NormalWeb"/>
              <w:spacing w:after="0" w:line="360" w:lineRule="auto"/>
              <w:rPr>
                <w:lang w:val="en-GB"/>
              </w:rPr>
            </w:pPr>
            <w:r>
              <w:rPr>
                <w:lang w:val="en-GB"/>
              </w:rPr>
              <w:t>3.7.1 Abstract</w:t>
            </w:r>
          </w:p>
        </w:tc>
        <w:tc>
          <w:tcPr>
            <w:tcW w:w="576" w:type="dxa"/>
            <w:vAlign w:val="center"/>
          </w:tcPr>
          <w:p w:rsidR="00A11513" w:rsidRDefault="007F4B6F" w:rsidP="00C33992">
            <w:pPr>
              <w:pStyle w:val="NormalWeb"/>
              <w:spacing w:after="0" w:line="360" w:lineRule="auto"/>
              <w:jc w:val="right"/>
              <w:rPr>
                <w:lang w:val="en-GB"/>
              </w:rPr>
            </w:pPr>
            <w:r>
              <w:rPr>
                <w:lang w:val="en-GB"/>
              </w:rPr>
              <w:t>108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0262BE">
            <w:pPr>
              <w:pStyle w:val="NormalWeb"/>
              <w:spacing w:after="0" w:line="360" w:lineRule="auto"/>
              <w:rPr>
                <w:lang w:val="en-GB"/>
              </w:rPr>
            </w:pPr>
            <w:r>
              <w:rPr>
                <w:lang w:val="en-GB"/>
              </w:rPr>
              <w:t>3.7.2 Introduction</w:t>
            </w:r>
          </w:p>
        </w:tc>
        <w:tc>
          <w:tcPr>
            <w:tcW w:w="576" w:type="dxa"/>
            <w:vAlign w:val="center"/>
          </w:tcPr>
          <w:p w:rsidR="00A11513" w:rsidRDefault="007F4B6F" w:rsidP="00C33992">
            <w:pPr>
              <w:pStyle w:val="NormalWeb"/>
              <w:spacing w:after="0" w:line="360" w:lineRule="auto"/>
              <w:jc w:val="right"/>
              <w:rPr>
                <w:lang w:val="en-GB"/>
              </w:rPr>
            </w:pPr>
            <w:r>
              <w:rPr>
                <w:lang w:val="en-GB"/>
              </w:rPr>
              <w:t>109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0262BE">
            <w:pPr>
              <w:pStyle w:val="NormalWeb"/>
              <w:spacing w:after="0" w:line="360" w:lineRule="auto"/>
              <w:rPr>
                <w:lang w:val="en-GB"/>
              </w:rPr>
            </w:pPr>
            <w:r>
              <w:rPr>
                <w:lang w:val="en-GB"/>
              </w:rPr>
              <w:t>3.7.3 Methods</w:t>
            </w:r>
          </w:p>
        </w:tc>
        <w:tc>
          <w:tcPr>
            <w:tcW w:w="576" w:type="dxa"/>
            <w:vAlign w:val="center"/>
          </w:tcPr>
          <w:p w:rsidR="00A11513" w:rsidRDefault="007F4B6F" w:rsidP="00C33992">
            <w:pPr>
              <w:pStyle w:val="NormalWeb"/>
              <w:spacing w:after="0" w:line="360" w:lineRule="auto"/>
              <w:jc w:val="right"/>
              <w:rPr>
                <w:lang w:val="en-GB"/>
              </w:rPr>
            </w:pPr>
            <w:r>
              <w:rPr>
                <w:lang w:val="en-GB"/>
              </w:rPr>
              <w:t>113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3.7.4 Results</w:t>
            </w:r>
          </w:p>
        </w:tc>
        <w:tc>
          <w:tcPr>
            <w:tcW w:w="576" w:type="dxa"/>
            <w:vAlign w:val="center"/>
          </w:tcPr>
          <w:p w:rsidR="00A11513" w:rsidRDefault="007F4B6F" w:rsidP="00C33992">
            <w:pPr>
              <w:pStyle w:val="NormalWeb"/>
              <w:spacing w:after="0" w:line="360" w:lineRule="auto"/>
              <w:jc w:val="right"/>
              <w:rPr>
                <w:lang w:val="en-GB"/>
              </w:rPr>
            </w:pPr>
            <w:r>
              <w:rPr>
                <w:lang w:val="en-GB"/>
              </w:rPr>
              <w:t>119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3.7.5 Discussion</w:t>
            </w:r>
          </w:p>
        </w:tc>
        <w:tc>
          <w:tcPr>
            <w:tcW w:w="576" w:type="dxa"/>
            <w:vAlign w:val="center"/>
          </w:tcPr>
          <w:p w:rsidR="00A11513" w:rsidRDefault="007F4B6F" w:rsidP="00C33992">
            <w:pPr>
              <w:pStyle w:val="NormalWeb"/>
              <w:spacing w:after="0" w:line="360" w:lineRule="auto"/>
              <w:jc w:val="right"/>
              <w:rPr>
                <w:lang w:val="en-GB"/>
              </w:rPr>
            </w:pPr>
            <w:r>
              <w:rPr>
                <w:lang w:val="en-GB"/>
              </w:rPr>
              <w:t>126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3.7.6 Conclusion</w:t>
            </w:r>
          </w:p>
        </w:tc>
        <w:tc>
          <w:tcPr>
            <w:tcW w:w="576" w:type="dxa"/>
            <w:vAlign w:val="center"/>
          </w:tcPr>
          <w:p w:rsidR="00A11513" w:rsidRDefault="007F4B6F" w:rsidP="00C33992">
            <w:pPr>
              <w:pStyle w:val="NormalWeb"/>
              <w:spacing w:after="0" w:line="360" w:lineRule="auto"/>
              <w:jc w:val="right"/>
              <w:rPr>
                <w:lang w:val="en-GB"/>
              </w:rPr>
            </w:pPr>
            <w:r>
              <w:rPr>
                <w:lang w:val="en-GB"/>
              </w:rPr>
              <w:t>132</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7F4B6F" w:rsidRDefault="007F4B6F" w:rsidP="00016CC8">
            <w:pPr>
              <w:pStyle w:val="NormalWeb"/>
              <w:spacing w:after="0" w:line="360" w:lineRule="auto"/>
              <w:rPr>
                <w:b/>
                <w:lang w:val="en-GB"/>
              </w:rPr>
            </w:pPr>
          </w:p>
          <w:p w:rsidR="00A11513" w:rsidRPr="00C33992" w:rsidRDefault="00A11513" w:rsidP="00016CC8">
            <w:pPr>
              <w:pStyle w:val="NormalWeb"/>
              <w:spacing w:after="0" w:line="360" w:lineRule="auto"/>
              <w:rPr>
                <w:b/>
                <w:lang w:val="en-GB"/>
              </w:rPr>
            </w:pPr>
            <w:r w:rsidRPr="00C33992">
              <w:rPr>
                <w:b/>
                <w:lang w:val="en-GB"/>
              </w:rPr>
              <w:t>Chapter 3.8 Experiment 7</w:t>
            </w:r>
          </w:p>
        </w:tc>
        <w:tc>
          <w:tcPr>
            <w:tcW w:w="576" w:type="dxa"/>
            <w:vAlign w:val="center"/>
          </w:tcPr>
          <w:p w:rsidR="00A11513" w:rsidRDefault="00A11513" w:rsidP="00C33992">
            <w:pPr>
              <w:pStyle w:val="Normal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Web"/>
              <w:spacing w:after="0" w:line="360" w:lineRule="auto"/>
              <w:rPr>
                <w:b/>
                <w:lang w:val="en-GB"/>
              </w:rPr>
            </w:pPr>
            <w:r>
              <w:rPr>
                <w:b/>
                <w:color w:val="000000"/>
                <w:lang w:val="en-GB"/>
              </w:rPr>
              <w:t>Perceptual learning in conceptually “simple” and “complex” kind of tasks</w:t>
            </w:r>
          </w:p>
        </w:tc>
        <w:tc>
          <w:tcPr>
            <w:tcW w:w="576" w:type="dxa"/>
            <w:vAlign w:val="center"/>
          </w:tcPr>
          <w:p w:rsidR="00016CC8" w:rsidRDefault="007F4B6F" w:rsidP="00C33992">
            <w:pPr>
              <w:pStyle w:val="NormalWeb"/>
              <w:spacing w:after="0" w:line="360" w:lineRule="auto"/>
              <w:jc w:val="right"/>
              <w:rPr>
                <w:lang w:val="en-GB"/>
              </w:rPr>
            </w:pPr>
            <w:r>
              <w:rPr>
                <w:lang w:val="en-GB"/>
              </w:rPr>
              <w:t>133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3.8.1 Introduction</w:t>
            </w:r>
          </w:p>
        </w:tc>
        <w:tc>
          <w:tcPr>
            <w:tcW w:w="576" w:type="dxa"/>
            <w:vAlign w:val="center"/>
          </w:tcPr>
          <w:p w:rsidR="00A11513" w:rsidRDefault="007F4B6F" w:rsidP="00C33992">
            <w:pPr>
              <w:pStyle w:val="NormalWeb"/>
              <w:spacing w:after="0" w:line="360" w:lineRule="auto"/>
              <w:jc w:val="right"/>
              <w:rPr>
                <w:lang w:val="en-GB"/>
              </w:rPr>
            </w:pPr>
            <w:r>
              <w:rPr>
                <w:lang w:val="en-GB"/>
              </w:rPr>
              <w:t>133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3.8.2 Methods</w:t>
            </w:r>
          </w:p>
        </w:tc>
        <w:tc>
          <w:tcPr>
            <w:tcW w:w="576" w:type="dxa"/>
            <w:vAlign w:val="center"/>
          </w:tcPr>
          <w:p w:rsidR="00A11513" w:rsidRDefault="007F4B6F" w:rsidP="00C33992">
            <w:pPr>
              <w:pStyle w:val="NormalWeb"/>
              <w:spacing w:after="0" w:line="360" w:lineRule="auto"/>
              <w:jc w:val="right"/>
              <w:rPr>
                <w:lang w:val="en-GB"/>
              </w:rPr>
            </w:pPr>
            <w:r>
              <w:rPr>
                <w:lang w:val="en-GB"/>
              </w:rPr>
              <w:t>134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Web"/>
              <w:spacing w:after="0" w:line="360" w:lineRule="auto"/>
              <w:rPr>
                <w:lang w:val="en-GB"/>
              </w:rPr>
            </w:pPr>
            <w:r>
              <w:rPr>
                <w:lang w:val="en-GB"/>
              </w:rPr>
              <w:t>3.8.3 Results</w:t>
            </w:r>
          </w:p>
        </w:tc>
        <w:tc>
          <w:tcPr>
            <w:tcW w:w="576" w:type="dxa"/>
            <w:vAlign w:val="center"/>
          </w:tcPr>
          <w:p w:rsidR="00A11513" w:rsidRDefault="007F4B6F" w:rsidP="00C33992">
            <w:pPr>
              <w:pStyle w:val="NormalWeb"/>
              <w:spacing w:after="0" w:line="360" w:lineRule="auto"/>
              <w:jc w:val="right"/>
              <w:rPr>
                <w:lang w:val="en-GB"/>
              </w:rPr>
            </w:pPr>
            <w:r>
              <w:rPr>
                <w:lang w:val="en-GB"/>
              </w:rPr>
              <w:t>137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Web"/>
              <w:spacing w:after="0" w:line="360" w:lineRule="auto"/>
              <w:rPr>
                <w:lang w:val="en-GB"/>
              </w:rPr>
            </w:pPr>
            <w:r>
              <w:rPr>
                <w:lang w:val="en-GB"/>
              </w:rPr>
              <w:t>3.8.4 Discussion</w:t>
            </w:r>
          </w:p>
        </w:tc>
        <w:tc>
          <w:tcPr>
            <w:tcW w:w="576" w:type="dxa"/>
            <w:vAlign w:val="center"/>
          </w:tcPr>
          <w:p w:rsidR="00A11513" w:rsidRDefault="007F4B6F" w:rsidP="00C33992">
            <w:pPr>
              <w:pStyle w:val="NormalWeb"/>
              <w:spacing w:after="0" w:line="360" w:lineRule="auto"/>
              <w:jc w:val="right"/>
              <w:rPr>
                <w:lang w:val="en-GB"/>
              </w:rPr>
            </w:pPr>
            <w:r>
              <w:rPr>
                <w:lang w:val="en-GB"/>
              </w:rPr>
              <w:t>139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Web"/>
              <w:spacing w:after="0" w:line="360" w:lineRule="auto"/>
              <w:rPr>
                <w:b/>
                <w:lang w:val="en-GB"/>
              </w:rPr>
            </w:pPr>
          </w:p>
        </w:tc>
        <w:tc>
          <w:tcPr>
            <w:tcW w:w="576" w:type="dxa"/>
            <w:vAlign w:val="center"/>
          </w:tcPr>
          <w:p w:rsidR="00A11513" w:rsidRDefault="00A11513" w:rsidP="00C33992">
            <w:pPr>
              <w:pStyle w:val="NormalWeb"/>
              <w:spacing w:after="0" w:line="360" w:lineRule="auto"/>
              <w:jc w:val="right"/>
              <w:rPr>
                <w:lang w:val="en-GB"/>
              </w:rPr>
            </w:pP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Web"/>
              <w:spacing w:after="0" w:line="360" w:lineRule="auto"/>
              <w:rPr>
                <w:b/>
                <w:lang w:val="en-GB"/>
              </w:rPr>
            </w:pPr>
            <w:r w:rsidRPr="00C33992">
              <w:rPr>
                <w:b/>
                <w:lang w:val="en-GB"/>
              </w:rPr>
              <w:t>Conclusion</w:t>
            </w:r>
          </w:p>
        </w:tc>
        <w:tc>
          <w:tcPr>
            <w:tcW w:w="576" w:type="dxa"/>
            <w:vAlign w:val="center"/>
          </w:tcPr>
          <w:p w:rsidR="00A11513" w:rsidRDefault="007F4B6F" w:rsidP="00C33992">
            <w:pPr>
              <w:pStyle w:val="NormalWeb"/>
              <w:spacing w:after="0" w:line="360" w:lineRule="auto"/>
              <w:jc w:val="right"/>
              <w:rPr>
                <w:lang w:val="en-GB"/>
              </w:rPr>
            </w:pPr>
            <w:r>
              <w:rPr>
                <w:lang w:val="en-GB"/>
              </w:rPr>
              <w:t>141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Web"/>
              <w:spacing w:after="0" w:line="360" w:lineRule="auto"/>
              <w:rPr>
                <w:b/>
                <w:lang w:val="en-GB"/>
              </w:rPr>
            </w:pPr>
          </w:p>
        </w:tc>
        <w:tc>
          <w:tcPr>
            <w:tcW w:w="576" w:type="dxa"/>
            <w:vAlign w:val="center"/>
          </w:tcPr>
          <w:p w:rsidR="00A11513" w:rsidRDefault="00A11513" w:rsidP="00C33992">
            <w:pPr>
              <w:pStyle w:val="NormalWeb"/>
              <w:spacing w:after="0" w:line="360" w:lineRule="auto"/>
              <w:jc w:val="right"/>
              <w:rPr>
                <w:lang w:val="en-GB"/>
              </w:rPr>
            </w:pP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Pr="00C33992" w:rsidRDefault="00A11513" w:rsidP="00C33992">
            <w:pPr>
              <w:pStyle w:val="NormalWeb"/>
              <w:spacing w:after="0" w:line="360" w:lineRule="auto"/>
              <w:rPr>
                <w:b/>
                <w:lang w:val="en-GB"/>
              </w:rPr>
            </w:pPr>
            <w:r w:rsidRPr="00C33992">
              <w:rPr>
                <w:b/>
                <w:lang w:val="en-GB"/>
              </w:rPr>
              <w:t>References</w:t>
            </w:r>
          </w:p>
        </w:tc>
        <w:tc>
          <w:tcPr>
            <w:tcW w:w="576" w:type="dxa"/>
            <w:vAlign w:val="center"/>
          </w:tcPr>
          <w:p w:rsidR="00A11513" w:rsidRDefault="007F4B6F" w:rsidP="00C33992">
            <w:pPr>
              <w:pStyle w:val="NormalWeb"/>
              <w:spacing w:after="0" w:line="360" w:lineRule="auto"/>
              <w:jc w:val="right"/>
              <w:rPr>
                <w:lang w:val="en-GB"/>
              </w:rPr>
            </w:pPr>
            <w:r>
              <w:rPr>
                <w:lang w:val="en-GB"/>
              </w:rPr>
              <w:t>144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Web"/>
              <w:spacing w:after="0" w:line="360" w:lineRule="auto"/>
              <w:rPr>
                <w:b/>
                <w:lang w:val="en-GB"/>
              </w:rPr>
            </w:pPr>
          </w:p>
        </w:tc>
        <w:tc>
          <w:tcPr>
            <w:tcW w:w="576" w:type="dxa"/>
            <w:vAlign w:val="center"/>
          </w:tcPr>
          <w:p w:rsidR="00A11513" w:rsidRDefault="00A11513" w:rsidP="00C33992">
            <w:pPr>
              <w:pStyle w:val="NormalWeb"/>
              <w:spacing w:after="0" w:line="360" w:lineRule="auto"/>
              <w:jc w:val="right"/>
              <w:rPr>
                <w:lang w:val="en-GB"/>
              </w:rPr>
            </w:pPr>
          </w:p>
        </w:tc>
      </w:tr>
    </w:tbl>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5A3C11" w:rsidRDefault="005A3C11" w:rsidP="000262BE">
      <w:pPr>
        <w:pStyle w:val="NormalWeb"/>
        <w:spacing w:after="0" w:line="360" w:lineRule="auto"/>
        <w:jc w:val="center"/>
        <w:outlineLvl w:val="0"/>
        <w:rPr>
          <w:b/>
          <w:sz w:val="36"/>
          <w:szCs w:val="36"/>
          <w:lang w:val="en-US"/>
        </w:rPr>
      </w:pPr>
    </w:p>
    <w:p w:rsidR="005A3C11" w:rsidRDefault="005A3C11" w:rsidP="000262BE">
      <w:pPr>
        <w:pStyle w:val="NormalWeb"/>
        <w:spacing w:after="0" w:line="360" w:lineRule="auto"/>
        <w:jc w:val="center"/>
        <w:outlineLvl w:val="0"/>
        <w:rPr>
          <w:b/>
          <w:sz w:val="36"/>
          <w:szCs w:val="36"/>
          <w:lang w:val="en-US"/>
        </w:rPr>
      </w:pPr>
    </w:p>
    <w:p w:rsidR="006122F2" w:rsidRDefault="006122F2">
      <w:pPr>
        <w:rPr>
          <w:rFonts w:ascii="Times New Roman" w:eastAsia="Times New Roman" w:hAnsi="Times New Roman" w:cs="Times New Roman"/>
          <w:b/>
          <w:sz w:val="36"/>
          <w:szCs w:val="36"/>
          <w:lang w:val="en-US" w:eastAsia="it-IT"/>
        </w:rPr>
      </w:pPr>
      <w:r>
        <w:rPr>
          <w:b/>
          <w:sz w:val="36"/>
          <w:szCs w:val="36"/>
          <w:lang w:val="en-US"/>
        </w:rPr>
        <w:br w:type="page"/>
      </w:r>
    </w:p>
    <w:p w:rsidR="006122F2" w:rsidRDefault="000262BE" w:rsidP="006122F2">
      <w:pPr>
        <w:pStyle w:val="NormalWeb"/>
        <w:spacing w:after="0" w:line="360" w:lineRule="auto"/>
        <w:jc w:val="center"/>
        <w:outlineLvl w:val="0"/>
        <w:rPr>
          <w:b/>
          <w:sz w:val="36"/>
          <w:szCs w:val="36"/>
          <w:lang w:val="en-US"/>
        </w:rPr>
      </w:pPr>
      <w:r>
        <w:rPr>
          <w:b/>
          <w:sz w:val="36"/>
          <w:szCs w:val="36"/>
          <w:lang w:val="en-US"/>
        </w:rPr>
        <w:t>List of Figures</w:t>
      </w:r>
    </w:p>
    <w:p w:rsidR="006122F2" w:rsidRPr="006122F2" w:rsidRDefault="006122F2" w:rsidP="006122F2">
      <w:pPr>
        <w:pStyle w:val="NormalWeb"/>
        <w:spacing w:after="0" w:line="360" w:lineRule="auto"/>
        <w:jc w:val="center"/>
        <w:outlineLvl w:val="0"/>
        <w:rPr>
          <w:b/>
          <w:sz w:val="28"/>
          <w:szCs w:val="28"/>
          <w:lang w:val="en-U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62"/>
        <w:gridCol w:w="858"/>
      </w:tblGrid>
      <w:tr w:rsidR="000262BE">
        <w:tc>
          <w:tcPr>
            <w:tcW w:w="8330" w:type="dxa"/>
            <w:vAlign w:val="center"/>
          </w:tcPr>
          <w:p w:rsidR="000262BE" w:rsidRPr="00733C46" w:rsidRDefault="000262BE" w:rsidP="00C33992">
            <w:pPr>
              <w:pStyle w:val="NormalWeb"/>
              <w:spacing w:after="0" w:line="360" w:lineRule="auto"/>
              <w:rPr>
                <w:b/>
                <w:lang w:val="en-GB"/>
              </w:rPr>
            </w:pPr>
            <w:r w:rsidRPr="00733C46">
              <w:rPr>
                <w:color w:val="000000"/>
                <w:szCs w:val="17"/>
                <w:lang w:val="en-US"/>
              </w:rPr>
              <w:t>Fig.1 Stimuli and presentation sequence as in Ahissar and colleagues (1993).</w:t>
            </w:r>
          </w:p>
        </w:tc>
        <w:tc>
          <w:tcPr>
            <w:tcW w:w="881" w:type="dxa"/>
            <w:vAlign w:val="center"/>
          </w:tcPr>
          <w:p w:rsidR="000262BE" w:rsidRDefault="00691168" w:rsidP="00C33992">
            <w:pPr>
              <w:pStyle w:val="NormalWeb"/>
              <w:spacing w:after="0" w:line="360" w:lineRule="auto"/>
              <w:jc w:val="right"/>
              <w:rPr>
                <w:lang w:val="en-GB"/>
              </w:rPr>
            </w:pPr>
            <w:r>
              <w:rPr>
                <w:lang w:val="en-GB"/>
              </w:rPr>
              <w:t>40</w:t>
            </w:r>
          </w:p>
        </w:tc>
      </w:tr>
      <w:tr w:rsidR="000262BE">
        <w:tc>
          <w:tcPr>
            <w:tcW w:w="8330" w:type="dxa"/>
          </w:tcPr>
          <w:p w:rsidR="000262BE" w:rsidRPr="00733C46" w:rsidRDefault="000262BE" w:rsidP="00C33992">
            <w:pPr>
              <w:pStyle w:val="NormalWeb"/>
              <w:spacing w:after="0" w:line="360" w:lineRule="auto"/>
              <w:rPr>
                <w:b/>
                <w:lang w:val="en-GB"/>
              </w:rPr>
            </w:pPr>
            <w:r w:rsidRPr="00733C46">
              <w:rPr>
                <w:rFonts w:ascii="Times" w:hAnsi="Times" w:cs="Times"/>
                <w:color w:val="000000"/>
                <w:szCs w:val="17"/>
                <w:lang w:val="en-US"/>
              </w:rPr>
              <w:t xml:space="preserve">Fig.2 Canonical </w:t>
            </w:r>
            <w:r w:rsidRPr="00733C46">
              <w:rPr>
                <w:color w:val="000000"/>
                <w:szCs w:val="17"/>
                <w:lang w:val="en-US"/>
              </w:rPr>
              <w:t>processing/analysis pipeline for functional MRI data.</w:t>
            </w:r>
          </w:p>
        </w:tc>
        <w:tc>
          <w:tcPr>
            <w:tcW w:w="881" w:type="dxa"/>
          </w:tcPr>
          <w:p w:rsidR="000262BE" w:rsidRDefault="00691168" w:rsidP="00C33992">
            <w:pPr>
              <w:pStyle w:val="NormalWeb"/>
              <w:spacing w:after="0" w:line="360" w:lineRule="auto"/>
              <w:jc w:val="right"/>
              <w:rPr>
                <w:lang w:val="en-GB"/>
              </w:rPr>
            </w:pPr>
            <w:r>
              <w:rPr>
                <w:lang w:val="en-GB"/>
              </w:rPr>
              <w:t>51</w:t>
            </w:r>
          </w:p>
        </w:tc>
      </w:tr>
      <w:tr w:rsidR="000262BE">
        <w:tc>
          <w:tcPr>
            <w:tcW w:w="8330" w:type="dxa"/>
          </w:tcPr>
          <w:p w:rsidR="000262BE" w:rsidRPr="00733C46" w:rsidRDefault="000262BE" w:rsidP="00C33992">
            <w:pPr>
              <w:pStyle w:val="NormalWeb"/>
              <w:spacing w:after="0" w:line="360" w:lineRule="auto"/>
              <w:rPr>
                <w:b/>
                <w:lang w:val="en-GB"/>
              </w:rPr>
            </w:pPr>
            <w:r w:rsidRPr="00733C46">
              <w:rPr>
                <w:color w:val="000000"/>
                <w:szCs w:val="17"/>
                <w:lang w:val="en-US"/>
              </w:rPr>
              <w:t>Fig.3 Retinotopic mapping as in Goebel et al. (2003).</w:t>
            </w:r>
          </w:p>
        </w:tc>
        <w:tc>
          <w:tcPr>
            <w:tcW w:w="881" w:type="dxa"/>
          </w:tcPr>
          <w:p w:rsidR="000262BE" w:rsidRDefault="00691168" w:rsidP="00C33992">
            <w:pPr>
              <w:pStyle w:val="NormalWeb"/>
              <w:spacing w:after="0" w:line="360" w:lineRule="auto"/>
              <w:jc w:val="right"/>
              <w:rPr>
                <w:lang w:val="en-GB"/>
              </w:rPr>
            </w:pPr>
            <w:r>
              <w:rPr>
                <w:lang w:val="en-GB"/>
              </w:rPr>
              <w:t>57</w:t>
            </w:r>
          </w:p>
        </w:tc>
      </w:tr>
      <w:tr w:rsidR="000262BE">
        <w:tc>
          <w:tcPr>
            <w:tcW w:w="8330" w:type="dxa"/>
          </w:tcPr>
          <w:p w:rsidR="000262BE" w:rsidRPr="00733C46" w:rsidRDefault="000262BE" w:rsidP="00C33992">
            <w:pPr>
              <w:pStyle w:val="NormalWeb"/>
              <w:spacing w:after="0" w:line="360" w:lineRule="auto"/>
              <w:rPr>
                <w:b/>
                <w:lang w:val="en-GB"/>
              </w:rPr>
            </w:pPr>
            <w:r>
              <w:rPr>
                <w:color w:val="000000"/>
                <w:szCs w:val="17"/>
                <w:lang w:val="en-US"/>
              </w:rPr>
              <w:t>Fig.</w:t>
            </w:r>
            <w:r w:rsidRPr="00733C46">
              <w:rPr>
                <w:color w:val="000000"/>
                <w:szCs w:val="17"/>
                <w:lang w:val="en-US"/>
              </w:rPr>
              <w:t>4 Time course of one trial.</w:t>
            </w:r>
          </w:p>
        </w:tc>
        <w:tc>
          <w:tcPr>
            <w:tcW w:w="881" w:type="dxa"/>
          </w:tcPr>
          <w:p w:rsidR="000262BE" w:rsidRDefault="00691168" w:rsidP="00C33992">
            <w:pPr>
              <w:pStyle w:val="NormalWeb"/>
              <w:spacing w:after="0" w:line="360" w:lineRule="auto"/>
              <w:jc w:val="right"/>
              <w:rPr>
                <w:lang w:val="en-GB"/>
              </w:rPr>
            </w:pPr>
            <w:r>
              <w:rPr>
                <w:lang w:val="en-GB"/>
              </w:rPr>
              <w:t>69</w:t>
            </w:r>
          </w:p>
        </w:tc>
      </w:tr>
      <w:tr w:rsidR="000262BE">
        <w:tc>
          <w:tcPr>
            <w:tcW w:w="8330" w:type="dxa"/>
          </w:tcPr>
          <w:p w:rsidR="000262BE" w:rsidRPr="00733C46" w:rsidRDefault="000262BE" w:rsidP="000262BE">
            <w:pPr>
              <w:pStyle w:val="NormalWeb"/>
              <w:spacing w:after="0" w:line="360" w:lineRule="auto"/>
              <w:rPr>
                <w:color w:val="000000"/>
                <w:szCs w:val="17"/>
                <w:lang w:val="en-US"/>
              </w:rPr>
            </w:pPr>
            <w:r w:rsidRPr="00733C46">
              <w:rPr>
                <w:color w:val="000000"/>
                <w:szCs w:val="17"/>
                <w:lang w:val="en-US"/>
              </w:rPr>
              <w:t>Fig.5 Flattened representation of the occipital cortex of one hemisphere</w:t>
            </w:r>
            <w:r>
              <w:rPr>
                <w:color w:val="000000"/>
                <w:szCs w:val="17"/>
                <w:lang w:val="en-US"/>
              </w:rPr>
              <w:t>.</w:t>
            </w:r>
          </w:p>
        </w:tc>
        <w:tc>
          <w:tcPr>
            <w:tcW w:w="881" w:type="dxa"/>
          </w:tcPr>
          <w:p w:rsidR="000262BE" w:rsidRDefault="00691168" w:rsidP="00C33992">
            <w:pPr>
              <w:pStyle w:val="NormalWeb"/>
              <w:spacing w:after="0" w:line="360" w:lineRule="auto"/>
              <w:jc w:val="right"/>
              <w:rPr>
                <w:lang w:val="en-GB"/>
              </w:rPr>
            </w:pPr>
            <w:r>
              <w:rPr>
                <w:lang w:val="en-GB"/>
              </w:rPr>
              <w:t>71</w:t>
            </w:r>
          </w:p>
        </w:tc>
      </w:tr>
      <w:tr w:rsidR="000262BE">
        <w:tc>
          <w:tcPr>
            <w:tcW w:w="8330" w:type="dxa"/>
          </w:tcPr>
          <w:p w:rsidR="000262BE" w:rsidRPr="00733C46" w:rsidRDefault="000262BE" w:rsidP="00C33992">
            <w:pPr>
              <w:pStyle w:val="NormalWeb"/>
              <w:spacing w:after="0" w:line="360" w:lineRule="auto"/>
              <w:rPr>
                <w:b/>
                <w:lang w:val="en-GB"/>
              </w:rPr>
            </w:pPr>
            <w:r w:rsidRPr="00733C46">
              <w:rPr>
                <w:color w:val="000000"/>
                <w:szCs w:val="17"/>
                <w:lang w:val="en-US"/>
              </w:rPr>
              <w:t>Fig.6 Performances averaged across subjects</w:t>
            </w:r>
          </w:p>
        </w:tc>
        <w:tc>
          <w:tcPr>
            <w:tcW w:w="881" w:type="dxa"/>
          </w:tcPr>
          <w:p w:rsidR="000262BE" w:rsidRDefault="00691168" w:rsidP="00C33992">
            <w:pPr>
              <w:pStyle w:val="NormalWeb"/>
              <w:spacing w:after="0" w:line="360" w:lineRule="auto"/>
              <w:jc w:val="right"/>
              <w:rPr>
                <w:lang w:val="en-GB"/>
              </w:rPr>
            </w:pPr>
            <w:r>
              <w:rPr>
                <w:lang w:val="en-GB"/>
              </w:rPr>
              <w:t>72</w:t>
            </w:r>
          </w:p>
        </w:tc>
      </w:tr>
      <w:tr w:rsidR="000262BE">
        <w:tc>
          <w:tcPr>
            <w:tcW w:w="8330" w:type="dxa"/>
          </w:tcPr>
          <w:p w:rsidR="000262BE" w:rsidRPr="00733C46" w:rsidRDefault="000262BE" w:rsidP="00C33992">
            <w:pPr>
              <w:pStyle w:val="NormalWeb"/>
              <w:spacing w:after="0" w:line="360" w:lineRule="auto"/>
              <w:rPr>
                <w:b/>
                <w:lang w:val="en-GB"/>
              </w:rPr>
            </w:pPr>
            <w:r>
              <w:rPr>
                <w:color w:val="000000"/>
                <w:szCs w:val="17"/>
                <w:lang w:val="en-US"/>
              </w:rPr>
              <w:t>Fig.7</w:t>
            </w:r>
            <w:r w:rsidRPr="00733C46">
              <w:rPr>
                <w:color w:val="000000"/>
                <w:szCs w:val="17"/>
                <w:lang w:val="en-US"/>
              </w:rPr>
              <w:t xml:space="preserve"> BOLD pre-stimulus activity and stimulus responses</w:t>
            </w:r>
          </w:p>
        </w:tc>
        <w:tc>
          <w:tcPr>
            <w:tcW w:w="881" w:type="dxa"/>
          </w:tcPr>
          <w:p w:rsidR="000262BE" w:rsidRDefault="00691168" w:rsidP="00C33992">
            <w:pPr>
              <w:pStyle w:val="NormalWeb"/>
              <w:spacing w:after="0" w:line="360" w:lineRule="auto"/>
              <w:jc w:val="right"/>
              <w:rPr>
                <w:lang w:val="en-GB"/>
              </w:rPr>
            </w:pPr>
            <w:r>
              <w:rPr>
                <w:lang w:val="en-GB"/>
              </w:rPr>
              <w:t>73</w:t>
            </w:r>
          </w:p>
        </w:tc>
      </w:tr>
      <w:tr w:rsidR="000262BE">
        <w:tc>
          <w:tcPr>
            <w:tcW w:w="8330" w:type="dxa"/>
          </w:tcPr>
          <w:p w:rsidR="000262BE" w:rsidRPr="00733C46" w:rsidRDefault="000262BE" w:rsidP="00C33992">
            <w:pPr>
              <w:pStyle w:val="NormalWeb"/>
              <w:spacing w:after="0" w:line="360" w:lineRule="auto"/>
              <w:rPr>
                <w:b/>
                <w:lang w:val="en-GB"/>
              </w:rPr>
            </w:pPr>
            <w:r w:rsidRPr="00733C46">
              <w:rPr>
                <w:color w:val="000000"/>
                <w:szCs w:val="17"/>
                <w:lang w:val="en-US"/>
              </w:rPr>
              <w:t>Fig.8 Mean BOLD responses for visual areas V1- V3</w:t>
            </w:r>
          </w:p>
        </w:tc>
        <w:tc>
          <w:tcPr>
            <w:tcW w:w="881" w:type="dxa"/>
          </w:tcPr>
          <w:p w:rsidR="000262BE" w:rsidRDefault="00691168" w:rsidP="00C33992">
            <w:pPr>
              <w:pStyle w:val="NormalWeb"/>
              <w:spacing w:after="0" w:line="360" w:lineRule="auto"/>
              <w:jc w:val="right"/>
              <w:rPr>
                <w:lang w:val="en-GB"/>
              </w:rPr>
            </w:pPr>
            <w:r>
              <w:rPr>
                <w:lang w:val="en-GB"/>
              </w:rPr>
              <w:t>74</w:t>
            </w:r>
          </w:p>
        </w:tc>
      </w:tr>
      <w:tr w:rsidR="000262BE">
        <w:tc>
          <w:tcPr>
            <w:tcW w:w="8330" w:type="dxa"/>
          </w:tcPr>
          <w:p w:rsidR="000262BE" w:rsidRPr="00733C46" w:rsidRDefault="000262BE" w:rsidP="000262BE">
            <w:pPr>
              <w:pStyle w:val="NormalWeb"/>
              <w:spacing w:after="0" w:line="360" w:lineRule="auto"/>
              <w:rPr>
                <w:b/>
                <w:lang w:val="en-GB"/>
              </w:rPr>
            </w:pPr>
            <w:r w:rsidRPr="00733C46">
              <w:rPr>
                <w:color w:val="000000"/>
                <w:szCs w:val="17"/>
                <w:lang w:val="en-US"/>
              </w:rPr>
              <w:t>Fig.9 Mean BOLD responses for vi</w:t>
            </w:r>
            <w:r>
              <w:rPr>
                <w:color w:val="000000"/>
                <w:szCs w:val="17"/>
                <w:lang w:val="en-US"/>
              </w:rPr>
              <w:t>sual areas V1–V3</w:t>
            </w:r>
          </w:p>
        </w:tc>
        <w:tc>
          <w:tcPr>
            <w:tcW w:w="881" w:type="dxa"/>
          </w:tcPr>
          <w:p w:rsidR="000262BE" w:rsidRDefault="00691168" w:rsidP="00691168">
            <w:pPr>
              <w:pStyle w:val="NormalWeb"/>
              <w:spacing w:after="0" w:line="360" w:lineRule="auto"/>
              <w:jc w:val="right"/>
              <w:rPr>
                <w:lang w:val="en-GB"/>
              </w:rPr>
            </w:pPr>
            <w:r>
              <w:rPr>
                <w:lang w:val="en-GB"/>
              </w:rPr>
              <w:t>76</w:t>
            </w:r>
          </w:p>
        </w:tc>
      </w:tr>
      <w:tr w:rsidR="000262BE">
        <w:tc>
          <w:tcPr>
            <w:tcW w:w="8330" w:type="dxa"/>
          </w:tcPr>
          <w:p w:rsidR="000262BE" w:rsidRPr="00733C46" w:rsidRDefault="000262BE" w:rsidP="00C33992">
            <w:pPr>
              <w:pStyle w:val="NormalWeb"/>
              <w:spacing w:after="0" w:line="360" w:lineRule="auto"/>
              <w:rPr>
                <w:b/>
                <w:lang w:val="en-GB"/>
              </w:rPr>
            </w:pPr>
            <w:r>
              <w:rPr>
                <w:color w:val="000000"/>
                <w:szCs w:val="17"/>
                <w:lang w:val="en-US"/>
              </w:rPr>
              <w:t>Fig.</w:t>
            </w:r>
            <w:r w:rsidRPr="00733C46">
              <w:rPr>
                <w:color w:val="000000"/>
                <w:szCs w:val="17"/>
                <w:lang w:val="en-US"/>
              </w:rPr>
              <w:t>10 Trial by trial analysis for each visual area.</w:t>
            </w:r>
          </w:p>
        </w:tc>
        <w:tc>
          <w:tcPr>
            <w:tcW w:w="881" w:type="dxa"/>
          </w:tcPr>
          <w:p w:rsidR="000262BE" w:rsidRDefault="00691168" w:rsidP="00C33992">
            <w:pPr>
              <w:pStyle w:val="NormalWeb"/>
              <w:spacing w:after="0" w:line="360" w:lineRule="auto"/>
              <w:jc w:val="right"/>
              <w:rPr>
                <w:lang w:val="en-GB"/>
              </w:rPr>
            </w:pPr>
            <w:r>
              <w:rPr>
                <w:lang w:val="en-GB"/>
              </w:rPr>
              <w:t>79</w:t>
            </w:r>
          </w:p>
        </w:tc>
      </w:tr>
      <w:tr w:rsidR="000262BE">
        <w:tc>
          <w:tcPr>
            <w:tcW w:w="8330" w:type="dxa"/>
          </w:tcPr>
          <w:p w:rsidR="000262BE" w:rsidRPr="00733C46" w:rsidRDefault="000262BE" w:rsidP="00C33992">
            <w:pPr>
              <w:pStyle w:val="NormalWeb"/>
              <w:spacing w:after="0" w:line="360" w:lineRule="auto"/>
              <w:rPr>
                <w:b/>
                <w:lang w:val="en-GB"/>
              </w:rPr>
            </w:pPr>
            <w:r w:rsidRPr="00733C46">
              <w:rPr>
                <w:color w:val="000000"/>
                <w:szCs w:val="17"/>
                <w:lang w:val="en-US"/>
              </w:rPr>
              <w:t>Fig</w:t>
            </w:r>
            <w:r>
              <w:rPr>
                <w:color w:val="000000"/>
                <w:szCs w:val="17"/>
                <w:lang w:val="en-US"/>
              </w:rPr>
              <w:t>.11</w:t>
            </w:r>
            <w:r w:rsidRPr="00733C46">
              <w:rPr>
                <w:color w:val="000000"/>
                <w:szCs w:val="17"/>
                <w:lang w:val="en-US"/>
              </w:rPr>
              <w:t xml:space="preserve"> Scheme of one trial.</w:t>
            </w:r>
          </w:p>
        </w:tc>
        <w:tc>
          <w:tcPr>
            <w:tcW w:w="881" w:type="dxa"/>
          </w:tcPr>
          <w:p w:rsidR="000262BE" w:rsidRDefault="00691168" w:rsidP="00C33992">
            <w:pPr>
              <w:pStyle w:val="NormalWeb"/>
              <w:spacing w:after="0" w:line="360" w:lineRule="auto"/>
              <w:jc w:val="right"/>
              <w:rPr>
                <w:lang w:val="en-GB"/>
              </w:rPr>
            </w:pPr>
            <w:r>
              <w:rPr>
                <w:lang w:val="en-GB"/>
              </w:rPr>
              <w:t>79</w:t>
            </w:r>
          </w:p>
        </w:tc>
      </w:tr>
      <w:tr w:rsidR="000262BE">
        <w:tc>
          <w:tcPr>
            <w:tcW w:w="8330" w:type="dxa"/>
          </w:tcPr>
          <w:p w:rsidR="000262BE" w:rsidRPr="00733C46" w:rsidRDefault="000262BE" w:rsidP="00C33992">
            <w:pPr>
              <w:pStyle w:val="NormalWeb"/>
              <w:spacing w:after="0" w:line="360" w:lineRule="auto"/>
              <w:rPr>
                <w:b/>
                <w:lang w:val="en-GB"/>
              </w:rPr>
            </w:pPr>
            <w:r>
              <w:rPr>
                <w:color w:val="000000"/>
                <w:szCs w:val="17"/>
                <w:lang w:val="en-US"/>
              </w:rPr>
              <w:t>Fig.12</w:t>
            </w:r>
            <w:r w:rsidRPr="00733C46">
              <w:rPr>
                <w:color w:val="000000"/>
                <w:szCs w:val="17"/>
                <w:lang w:val="en-US"/>
              </w:rPr>
              <w:t xml:space="preserve"> Flattened representation of the occipital cortex of one hemisphere.</w:t>
            </w:r>
          </w:p>
        </w:tc>
        <w:tc>
          <w:tcPr>
            <w:tcW w:w="881" w:type="dxa"/>
          </w:tcPr>
          <w:p w:rsidR="000262BE" w:rsidRDefault="00691168" w:rsidP="00C33992">
            <w:pPr>
              <w:pStyle w:val="NormalWeb"/>
              <w:spacing w:after="0" w:line="360" w:lineRule="auto"/>
              <w:jc w:val="right"/>
              <w:rPr>
                <w:lang w:val="en-GB"/>
              </w:rPr>
            </w:pPr>
            <w:r>
              <w:rPr>
                <w:lang w:val="en-GB"/>
              </w:rPr>
              <w:t>81</w:t>
            </w:r>
          </w:p>
        </w:tc>
      </w:tr>
      <w:tr w:rsidR="000262BE">
        <w:tc>
          <w:tcPr>
            <w:tcW w:w="8330" w:type="dxa"/>
          </w:tcPr>
          <w:p w:rsidR="000262BE" w:rsidRPr="00733C46" w:rsidRDefault="000262BE" w:rsidP="00C33992">
            <w:pPr>
              <w:pStyle w:val="NormalWeb"/>
              <w:spacing w:after="0" w:line="360" w:lineRule="auto"/>
              <w:rPr>
                <w:b/>
                <w:lang w:val="en-GB"/>
              </w:rPr>
            </w:pPr>
            <w:r>
              <w:rPr>
                <w:color w:val="000000"/>
                <w:szCs w:val="17"/>
                <w:lang w:val="en-US"/>
              </w:rPr>
              <w:t>Fig.13</w:t>
            </w:r>
            <w:r w:rsidRPr="00733C46">
              <w:rPr>
                <w:color w:val="000000"/>
                <w:szCs w:val="17"/>
                <w:lang w:val="en-US"/>
              </w:rPr>
              <w:t xml:space="preserve"> Performances for the two difficulty levels</w:t>
            </w:r>
          </w:p>
        </w:tc>
        <w:tc>
          <w:tcPr>
            <w:tcW w:w="881" w:type="dxa"/>
          </w:tcPr>
          <w:p w:rsidR="000262BE" w:rsidRDefault="00691168" w:rsidP="00C33992">
            <w:pPr>
              <w:pStyle w:val="NormalWeb"/>
              <w:spacing w:after="0" w:line="360" w:lineRule="auto"/>
              <w:jc w:val="right"/>
              <w:rPr>
                <w:lang w:val="en-GB"/>
              </w:rPr>
            </w:pPr>
            <w:r>
              <w:rPr>
                <w:lang w:val="en-GB"/>
              </w:rPr>
              <w:t>82</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Fig.14</w:t>
            </w:r>
            <w:r w:rsidRPr="00895811">
              <w:rPr>
                <w:color w:val="000000"/>
                <w:szCs w:val="17"/>
                <w:lang w:val="en-US"/>
              </w:rPr>
              <w:t xml:space="preserve"> BOLD Pre-stimulus activity and stimulus response</w:t>
            </w:r>
          </w:p>
        </w:tc>
        <w:tc>
          <w:tcPr>
            <w:tcW w:w="881" w:type="dxa"/>
          </w:tcPr>
          <w:p w:rsidR="000262BE" w:rsidRDefault="00691168" w:rsidP="00C33992">
            <w:pPr>
              <w:pStyle w:val="NormalWeb"/>
              <w:spacing w:after="0" w:line="360" w:lineRule="auto"/>
              <w:jc w:val="right"/>
              <w:rPr>
                <w:lang w:val="en-GB"/>
              </w:rPr>
            </w:pPr>
            <w:r>
              <w:rPr>
                <w:lang w:val="en-GB"/>
              </w:rPr>
              <w:t>83</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 xml:space="preserve">Fig.15 </w:t>
            </w:r>
            <w:r w:rsidRPr="00895811">
              <w:rPr>
                <w:color w:val="000000"/>
                <w:szCs w:val="17"/>
                <w:lang w:val="en-US"/>
              </w:rPr>
              <w:t>BOLD pre-stimulus and stimulus response</w:t>
            </w:r>
          </w:p>
        </w:tc>
        <w:tc>
          <w:tcPr>
            <w:tcW w:w="881" w:type="dxa"/>
          </w:tcPr>
          <w:p w:rsidR="000262BE" w:rsidRDefault="00691168" w:rsidP="00C33992">
            <w:pPr>
              <w:pStyle w:val="NormalWeb"/>
              <w:spacing w:after="0" w:line="360" w:lineRule="auto"/>
              <w:jc w:val="right"/>
              <w:rPr>
                <w:lang w:val="en-GB"/>
              </w:rPr>
            </w:pPr>
            <w:r>
              <w:rPr>
                <w:lang w:val="en-GB"/>
              </w:rPr>
              <w:t>87</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Fig.16</w:t>
            </w:r>
            <w:r w:rsidRPr="00895811">
              <w:rPr>
                <w:color w:val="000000"/>
                <w:szCs w:val="17"/>
                <w:lang w:val="en-US"/>
              </w:rPr>
              <w:t xml:space="preserve"> Performance for each difficulty level</w:t>
            </w:r>
          </w:p>
        </w:tc>
        <w:tc>
          <w:tcPr>
            <w:tcW w:w="881" w:type="dxa"/>
          </w:tcPr>
          <w:p w:rsidR="000262BE" w:rsidRDefault="00691168" w:rsidP="00C33992">
            <w:pPr>
              <w:pStyle w:val="NormalWeb"/>
              <w:spacing w:after="0" w:line="360" w:lineRule="auto"/>
              <w:jc w:val="right"/>
              <w:rPr>
                <w:lang w:val="en-GB"/>
              </w:rPr>
            </w:pPr>
            <w:r>
              <w:rPr>
                <w:lang w:val="en-GB"/>
              </w:rPr>
              <w:t>88</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Fig.17</w:t>
            </w:r>
            <w:r w:rsidRPr="00895811">
              <w:rPr>
                <w:color w:val="000000"/>
                <w:szCs w:val="17"/>
                <w:lang w:val="en-US"/>
              </w:rPr>
              <w:t xml:space="preserve"> BOLD pre-stimulus activity and stimulus response</w:t>
            </w:r>
          </w:p>
        </w:tc>
        <w:tc>
          <w:tcPr>
            <w:tcW w:w="881" w:type="dxa"/>
          </w:tcPr>
          <w:p w:rsidR="000262BE" w:rsidRDefault="00691168" w:rsidP="00C33992">
            <w:pPr>
              <w:pStyle w:val="NormalWeb"/>
              <w:spacing w:after="0" w:line="360" w:lineRule="auto"/>
              <w:jc w:val="right"/>
              <w:rPr>
                <w:lang w:val="en-GB"/>
              </w:rPr>
            </w:pPr>
            <w:r>
              <w:rPr>
                <w:lang w:val="en-GB"/>
              </w:rPr>
              <w:t>88</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Fig.18</w:t>
            </w:r>
            <w:r w:rsidRPr="00895811">
              <w:rPr>
                <w:color w:val="000000"/>
                <w:szCs w:val="17"/>
                <w:lang w:val="en-US"/>
              </w:rPr>
              <w:t xml:space="preserve"> Performance for both difficulty level outside and inside the scanner</w:t>
            </w:r>
          </w:p>
        </w:tc>
        <w:tc>
          <w:tcPr>
            <w:tcW w:w="881" w:type="dxa"/>
          </w:tcPr>
          <w:p w:rsidR="000262BE" w:rsidRDefault="00691168" w:rsidP="00C33992">
            <w:pPr>
              <w:pStyle w:val="NormalWeb"/>
              <w:spacing w:after="0" w:line="360" w:lineRule="auto"/>
              <w:jc w:val="right"/>
              <w:rPr>
                <w:lang w:val="en-GB"/>
              </w:rPr>
            </w:pPr>
            <w:r>
              <w:rPr>
                <w:lang w:val="en-GB"/>
              </w:rPr>
              <w:t>91</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Fig.19</w:t>
            </w:r>
            <w:r w:rsidRPr="00895811">
              <w:rPr>
                <w:color w:val="000000"/>
                <w:szCs w:val="17"/>
                <w:lang w:val="en-US"/>
              </w:rPr>
              <w:t xml:space="preserve"> BOLD pre-stimulus activity and stimulus response</w:t>
            </w:r>
          </w:p>
        </w:tc>
        <w:tc>
          <w:tcPr>
            <w:tcW w:w="881" w:type="dxa"/>
          </w:tcPr>
          <w:p w:rsidR="000262BE" w:rsidRDefault="00691168" w:rsidP="00C33992">
            <w:pPr>
              <w:pStyle w:val="NormalWeb"/>
              <w:spacing w:after="0" w:line="360" w:lineRule="auto"/>
              <w:jc w:val="right"/>
              <w:rPr>
                <w:lang w:val="en-GB"/>
              </w:rPr>
            </w:pPr>
            <w:r>
              <w:rPr>
                <w:lang w:val="en-GB"/>
              </w:rPr>
              <w:t>92</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Fig.20</w:t>
            </w:r>
            <w:r w:rsidRPr="00895811">
              <w:rPr>
                <w:color w:val="000000"/>
                <w:szCs w:val="17"/>
                <w:lang w:val="en-US"/>
              </w:rPr>
              <w:t xml:space="preserve"> Scheme of one trial.</w:t>
            </w:r>
          </w:p>
        </w:tc>
        <w:tc>
          <w:tcPr>
            <w:tcW w:w="881" w:type="dxa"/>
          </w:tcPr>
          <w:p w:rsidR="000262BE" w:rsidRDefault="00691168" w:rsidP="00C33992">
            <w:pPr>
              <w:pStyle w:val="NormalWeb"/>
              <w:spacing w:after="0" w:line="360" w:lineRule="auto"/>
              <w:jc w:val="right"/>
              <w:rPr>
                <w:lang w:val="en-GB"/>
              </w:rPr>
            </w:pPr>
            <w:r>
              <w:rPr>
                <w:lang w:val="en-GB"/>
              </w:rPr>
              <w:t>96</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Fig.21</w:t>
            </w:r>
            <w:r w:rsidRPr="00895811">
              <w:rPr>
                <w:color w:val="000000"/>
                <w:szCs w:val="17"/>
                <w:lang w:val="en-US"/>
              </w:rPr>
              <w:t xml:space="preserve"> Localizer.</w:t>
            </w:r>
          </w:p>
        </w:tc>
        <w:tc>
          <w:tcPr>
            <w:tcW w:w="881" w:type="dxa"/>
          </w:tcPr>
          <w:p w:rsidR="000262BE" w:rsidRDefault="00691168" w:rsidP="00C33992">
            <w:pPr>
              <w:pStyle w:val="NormalWeb"/>
              <w:spacing w:after="0" w:line="360" w:lineRule="auto"/>
              <w:jc w:val="right"/>
              <w:rPr>
                <w:lang w:val="en-GB"/>
              </w:rPr>
            </w:pPr>
            <w:r>
              <w:rPr>
                <w:lang w:val="en-GB"/>
              </w:rPr>
              <w:t>97</w:t>
            </w:r>
          </w:p>
        </w:tc>
      </w:tr>
      <w:tr w:rsidR="000262BE">
        <w:tc>
          <w:tcPr>
            <w:tcW w:w="8330" w:type="dxa"/>
          </w:tcPr>
          <w:p w:rsidR="000262BE" w:rsidRPr="00895811" w:rsidRDefault="000262BE" w:rsidP="00C33992">
            <w:pPr>
              <w:pStyle w:val="NormalWeb"/>
              <w:spacing w:after="0" w:line="360" w:lineRule="auto"/>
              <w:rPr>
                <w:b/>
                <w:lang w:val="en-GB"/>
              </w:rPr>
            </w:pPr>
            <w:r>
              <w:rPr>
                <w:color w:val="000000"/>
                <w:szCs w:val="17"/>
                <w:lang w:val="en-US"/>
              </w:rPr>
              <w:t>Fig.22</w:t>
            </w:r>
            <w:r w:rsidRPr="00895811">
              <w:rPr>
                <w:color w:val="000000"/>
                <w:szCs w:val="17"/>
                <w:lang w:val="en-US"/>
              </w:rPr>
              <w:t xml:space="preserve"> Pre stimulus activity for each visual areas and normalized</w:t>
            </w:r>
          </w:p>
        </w:tc>
        <w:tc>
          <w:tcPr>
            <w:tcW w:w="881" w:type="dxa"/>
          </w:tcPr>
          <w:p w:rsidR="000262BE" w:rsidRDefault="00691168" w:rsidP="00C33992">
            <w:pPr>
              <w:pStyle w:val="NormalWeb"/>
              <w:spacing w:after="0" w:line="360" w:lineRule="auto"/>
              <w:jc w:val="right"/>
              <w:rPr>
                <w:lang w:val="en-GB"/>
              </w:rPr>
            </w:pPr>
            <w:r>
              <w:rPr>
                <w:lang w:val="en-GB"/>
              </w:rPr>
              <w:t>98</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23</w:t>
            </w:r>
            <w:r w:rsidRPr="00895811">
              <w:rPr>
                <w:color w:val="000000"/>
                <w:szCs w:val="17"/>
                <w:lang w:val="en-US"/>
              </w:rPr>
              <w:t xml:space="preserve"> Scheme of one trial.</w:t>
            </w:r>
          </w:p>
        </w:tc>
        <w:tc>
          <w:tcPr>
            <w:tcW w:w="881" w:type="dxa"/>
          </w:tcPr>
          <w:p w:rsidR="005E72E9" w:rsidRDefault="00691168" w:rsidP="00C33992">
            <w:pPr>
              <w:pStyle w:val="NormalWeb"/>
              <w:spacing w:after="0" w:line="360" w:lineRule="auto"/>
              <w:jc w:val="right"/>
              <w:rPr>
                <w:lang w:val="en-GB"/>
              </w:rPr>
            </w:pPr>
            <w:r>
              <w:rPr>
                <w:lang w:val="en-GB"/>
              </w:rPr>
              <w:t>103</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24</w:t>
            </w:r>
            <w:r w:rsidRPr="00895811">
              <w:rPr>
                <w:color w:val="000000"/>
                <w:szCs w:val="17"/>
                <w:lang w:val="en-US"/>
              </w:rPr>
              <w:t xml:space="preserve"> Localizer.</w:t>
            </w:r>
          </w:p>
        </w:tc>
        <w:tc>
          <w:tcPr>
            <w:tcW w:w="881" w:type="dxa"/>
          </w:tcPr>
          <w:p w:rsidR="005E72E9" w:rsidRDefault="00691168" w:rsidP="00C33992">
            <w:pPr>
              <w:pStyle w:val="NormalWeb"/>
              <w:spacing w:after="0" w:line="360" w:lineRule="auto"/>
              <w:jc w:val="right"/>
              <w:rPr>
                <w:lang w:val="en-GB"/>
              </w:rPr>
            </w:pPr>
            <w:r>
              <w:rPr>
                <w:lang w:val="en-GB"/>
              </w:rPr>
              <w:t>103</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25</w:t>
            </w:r>
            <w:r w:rsidRPr="00895811">
              <w:rPr>
                <w:color w:val="000000"/>
                <w:szCs w:val="17"/>
                <w:lang w:val="en-US"/>
              </w:rPr>
              <w:t xml:space="preserve"> BOLD responses for the circles.</w:t>
            </w:r>
          </w:p>
        </w:tc>
        <w:tc>
          <w:tcPr>
            <w:tcW w:w="881" w:type="dxa"/>
          </w:tcPr>
          <w:p w:rsidR="005E72E9" w:rsidRDefault="00691168" w:rsidP="00C33992">
            <w:pPr>
              <w:pStyle w:val="NormalWeb"/>
              <w:spacing w:after="0" w:line="360" w:lineRule="auto"/>
              <w:jc w:val="right"/>
              <w:rPr>
                <w:lang w:val="en-GB"/>
              </w:rPr>
            </w:pPr>
            <w:r>
              <w:rPr>
                <w:lang w:val="en-GB"/>
              </w:rPr>
              <w:t>104</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Fig.26</w:t>
            </w:r>
            <w:r w:rsidRPr="00895811">
              <w:rPr>
                <w:color w:val="000000"/>
                <w:szCs w:val="17"/>
                <w:lang w:val="en-US"/>
              </w:rPr>
              <w:t xml:space="preserve"> Latency and accuracy for each circle size.</w:t>
            </w:r>
          </w:p>
        </w:tc>
        <w:tc>
          <w:tcPr>
            <w:tcW w:w="881" w:type="dxa"/>
          </w:tcPr>
          <w:p w:rsidR="005E72E9" w:rsidRDefault="00691168" w:rsidP="00C33992">
            <w:pPr>
              <w:pStyle w:val="NormalWeb"/>
              <w:spacing w:after="0" w:line="360" w:lineRule="auto"/>
              <w:jc w:val="right"/>
              <w:rPr>
                <w:lang w:val="en-GB"/>
              </w:rPr>
            </w:pPr>
            <w:r>
              <w:rPr>
                <w:lang w:val="en-GB"/>
              </w:rPr>
              <w:t>105</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27</w:t>
            </w:r>
            <w:r w:rsidRPr="00895811">
              <w:rPr>
                <w:color w:val="000000"/>
                <w:szCs w:val="17"/>
                <w:lang w:val="en-US"/>
              </w:rPr>
              <w:t xml:space="preserve"> Trial-by-trial analysis. Accuracy and Latency.</w:t>
            </w:r>
          </w:p>
        </w:tc>
        <w:tc>
          <w:tcPr>
            <w:tcW w:w="881" w:type="dxa"/>
          </w:tcPr>
          <w:p w:rsidR="005E72E9" w:rsidRDefault="00691168" w:rsidP="00C33992">
            <w:pPr>
              <w:pStyle w:val="NormalWeb"/>
              <w:spacing w:after="0" w:line="360" w:lineRule="auto"/>
              <w:jc w:val="right"/>
              <w:rPr>
                <w:lang w:val="en-GB"/>
              </w:rPr>
            </w:pPr>
            <w:r>
              <w:rPr>
                <w:lang w:val="en-GB"/>
              </w:rPr>
              <w:t>106</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.28</w:t>
            </w:r>
            <w:r w:rsidRPr="00895811">
              <w:rPr>
                <w:color w:val="000000"/>
                <w:szCs w:val="17"/>
                <w:lang w:val="en-US"/>
              </w:rPr>
              <w:t xml:space="preserve"> Time course of one trial.</w:t>
            </w:r>
          </w:p>
        </w:tc>
        <w:tc>
          <w:tcPr>
            <w:tcW w:w="881" w:type="dxa"/>
          </w:tcPr>
          <w:p w:rsidR="005E72E9" w:rsidRDefault="00691168" w:rsidP="006246CC">
            <w:pPr>
              <w:pStyle w:val="NormalWeb"/>
              <w:spacing w:after="0" w:line="360" w:lineRule="auto"/>
              <w:jc w:val="right"/>
              <w:rPr>
                <w:lang w:val="en-GB"/>
              </w:rPr>
            </w:pPr>
            <w:r>
              <w:rPr>
                <w:lang w:val="en-GB"/>
              </w:rPr>
              <w:t>115</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29</w:t>
            </w:r>
            <w:r w:rsidRPr="00895811">
              <w:rPr>
                <w:color w:val="000000"/>
                <w:szCs w:val="17"/>
                <w:lang w:val="en-US"/>
              </w:rPr>
              <w:t xml:space="preserve"> Flattened representation of the occipital cortex of one hemisphere</w:t>
            </w:r>
          </w:p>
        </w:tc>
        <w:tc>
          <w:tcPr>
            <w:tcW w:w="881" w:type="dxa"/>
          </w:tcPr>
          <w:p w:rsidR="005E72E9" w:rsidRDefault="00691168" w:rsidP="00C33992">
            <w:pPr>
              <w:pStyle w:val="NormalWeb"/>
              <w:spacing w:after="0" w:line="360" w:lineRule="auto"/>
              <w:jc w:val="right"/>
              <w:rPr>
                <w:lang w:val="en-GB"/>
              </w:rPr>
            </w:pPr>
            <w:r>
              <w:rPr>
                <w:lang w:val="en-GB"/>
              </w:rPr>
              <w:t>118</w:t>
            </w:r>
          </w:p>
        </w:tc>
      </w:tr>
      <w:tr w:rsidR="005E72E9">
        <w:tc>
          <w:tcPr>
            <w:tcW w:w="8330" w:type="dxa"/>
          </w:tcPr>
          <w:p w:rsidR="005E72E9" w:rsidRPr="00895811" w:rsidRDefault="005E72E9" w:rsidP="00C33992">
            <w:pPr>
              <w:pStyle w:val="NormalWeb"/>
              <w:spacing w:after="0" w:line="360" w:lineRule="auto"/>
              <w:rPr>
                <w:b/>
                <w:lang w:val="en-GB"/>
              </w:rPr>
            </w:pPr>
            <w:r w:rsidRPr="00895811">
              <w:rPr>
                <w:color w:val="000000"/>
                <w:szCs w:val="17"/>
                <w:lang w:val="en-US"/>
              </w:rPr>
              <w:t>Fig.</w:t>
            </w:r>
            <w:r>
              <w:rPr>
                <w:color w:val="000000"/>
                <w:szCs w:val="17"/>
                <w:lang w:val="en-US"/>
              </w:rPr>
              <w:t>30</w:t>
            </w:r>
            <w:r w:rsidRPr="00895811">
              <w:rPr>
                <w:color w:val="000000"/>
                <w:szCs w:val="17"/>
                <w:lang w:val="en-US"/>
              </w:rPr>
              <w:t xml:space="preserve"> </w:t>
            </w:r>
            <w:r w:rsidRPr="00895811">
              <w:rPr>
                <w:b/>
                <w:bCs/>
                <w:color w:val="000000"/>
                <w:szCs w:val="17"/>
                <w:lang w:val="en-US"/>
              </w:rPr>
              <w:t xml:space="preserve">(a) </w:t>
            </w:r>
            <w:r w:rsidRPr="00895811">
              <w:rPr>
                <w:color w:val="000000"/>
                <w:szCs w:val="17"/>
                <w:lang w:val="en-US"/>
              </w:rPr>
              <w:t>Percent correct responses as a function of task difficulty.</w:t>
            </w:r>
          </w:p>
        </w:tc>
        <w:tc>
          <w:tcPr>
            <w:tcW w:w="881" w:type="dxa"/>
          </w:tcPr>
          <w:p w:rsidR="005E72E9" w:rsidRDefault="00691168" w:rsidP="006246CC">
            <w:pPr>
              <w:pStyle w:val="NormalWeb"/>
              <w:spacing w:after="0" w:line="360" w:lineRule="auto"/>
              <w:jc w:val="right"/>
              <w:rPr>
                <w:lang w:val="en-GB"/>
              </w:rPr>
            </w:pPr>
            <w:r>
              <w:rPr>
                <w:lang w:val="en-GB"/>
              </w:rPr>
              <w:t>120</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Fig.31</w:t>
            </w:r>
            <w:r w:rsidRPr="00895811">
              <w:rPr>
                <w:color w:val="000000"/>
                <w:szCs w:val="17"/>
                <w:lang w:val="en-US"/>
              </w:rPr>
              <w:t xml:space="preserve"> Perceptual learning, averaged across four participants</w:t>
            </w:r>
          </w:p>
        </w:tc>
        <w:tc>
          <w:tcPr>
            <w:tcW w:w="881" w:type="dxa"/>
          </w:tcPr>
          <w:p w:rsidR="005E72E9" w:rsidRDefault="00691168" w:rsidP="00C33992">
            <w:pPr>
              <w:pStyle w:val="NormalWeb"/>
              <w:spacing w:after="0" w:line="360" w:lineRule="auto"/>
              <w:jc w:val="right"/>
              <w:rPr>
                <w:lang w:val="en-GB"/>
              </w:rPr>
            </w:pPr>
            <w:r>
              <w:rPr>
                <w:lang w:val="en-GB"/>
              </w:rPr>
              <w:t>121</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Fig.32</w:t>
            </w:r>
            <w:r w:rsidRPr="00895811">
              <w:rPr>
                <w:color w:val="000000"/>
                <w:szCs w:val="17"/>
                <w:lang w:val="en-US"/>
              </w:rPr>
              <w:t xml:space="preserve"> Estimate of the timecourse of prestimulus activity</w:t>
            </w:r>
          </w:p>
        </w:tc>
        <w:tc>
          <w:tcPr>
            <w:tcW w:w="881" w:type="dxa"/>
          </w:tcPr>
          <w:p w:rsidR="005E72E9" w:rsidRDefault="00691168" w:rsidP="00C33992">
            <w:pPr>
              <w:pStyle w:val="NormalWeb"/>
              <w:spacing w:after="0" w:line="360" w:lineRule="auto"/>
              <w:jc w:val="right"/>
              <w:rPr>
                <w:lang w:val="en-GB"/>
              </w:rPr>
            </w:pPr>
            <w:r>
              <w:rPr>
                <w:lang w:val="en-GB"/>
              </w:rPr>
              <w:t>122</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Fig.33</w:t>
            </w:r>
            <w:r w:rsidRPr="00895811">
              <w:rPr>
                <w:color w:val="000000"/>
                <w:szCs w:val="17"/>
                <w:lang w:val="en-US"/>
              </w:rPr>
              <w:t xml:space="preserve"> Mean BOLD responses for visual areas V1, V2 and V3</w:t>
            </w:r>
          </w:p>
        </w:tc>
        <w:tc>
          <w:tcPr>
            <w:tcW w:w="881" w:type="dxa"/>
          </w:tcPr>
          <w:p w:rsidR="005E72E9" w:rsidRDefault="00691168" w:rsidP="00C33992">
            <w:pPr>
              <w:pStyle w:val="NormalWeb"/>
              <w:spacing w:after="0" w:line="360" w:lineRule="auto"/>
              <w:jc w:val="right"/>
              <w:rPr>
                <w:lang w:val="en-GB"/>
              </w:rPr>
            </w:pPr>
            <w:r>
              <w:rPr>
                <w:lang w:val="en-GB"/>
              </w:rPr>
              <w:t>123</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 34</w:t>
            </w:r>
            <w:r w:rsidRPr="00895811">
              <w:rPr>
                <w:color w:val="000000"/>
                <w:szCs w:val="17"/>
                <w:lang w:val="en-US"/>
              </w:rPr>
              <w:t xml:space="preserve"> Mean BOLD responses for visual areas V1, V2 and V3</w:t>
            </w:r>
          </w:p>
        </w:tc>
        <w:tc>
          <w:tcPr>
            <w:tcW w:w="881" w:type="dxa"/>
          </w:tcPr>
          <w:p w:rsidR="005E72E9" w:rsidRDefault="00691168" w:rsidP="00C33992">
            <w:pPr>
              <w:pStyle w:val="NormalWeb"/>
              <w:spacing w:after="0" w:line="360" w:lineRule="auto"/>
              <w:jc w:val="right"/>
              <w:rPr>
                <w:lang w:val="en-GB"/>
              </w:rPr>
            </w:pPr>
            <w:r>
              <w:rPr>
                <w:lang w:val="en-GB"/>
              </w:rPr>
              <w:t>124</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Fig.35</w:t>
            </w:r>
            <w:r w:rsidRPr="00895811">
              <w:rPr>
                <w:color w:val="000000"/>
                <w:szCs w:val="17"/>
                <w:lang w:val="en-US"/>
              </w:rPr>
              <w:t xml:space="preserve"> </w:t>
            </w:r>
            <w:r w:rsidRPr="00895811">
              <w:rPr>
                <w:b/>
                <w:bCs/>
                <w:color w:val="000000"/>
                <w:szCs w:val="17"/>
                <w:lang w:val="en-US"/>
              </w:rPr>
              <w:t xml:space="preserve">(a) </w:t>
            </w:r>
            <w:r w:rsidRPr="00895811">
              <w:rPr>
                <w:color w:val="000000"/>
                <w:szCs w:val="17"/>
                <w:lang w:val="en-US"/>
              </w:rPr>
              <w:t>Sample scatter plot showing trial-by-trial amplitudes</w:t>
            </w:r>
          </w:p>
        </w:tc>
        <w:tc>
          <w:tcPr>
            <w:tcW w:w="881" w:type="dxa"/>
          </w:tcPr>
          <w:p w:rsidR="005E72E9" w:rsidRDefault="00691168" w:rsidP="00C33992">
            <w:pPr>
              <w:pStyle w:val="NormalWeb"/>
              <w:spacing w:after="0" w:line="360" w:lineRule="auto"/>
              <w:jc w:val="right"/>
              <w:rPr>
                <w:lang w:val="en-GB"/>
              </w:rPr>
            </w:pPr>
            <w:r>
              <w:rPr>
                <w:lang w:val="en-GB"/>
              </w:rPr>
              <w:t>125</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Fig.36</w:t>
            </w:r>
            <w:r w:rsidRPr="00895811">
              <w:rPr>
                <w:color w:val="000000"/>
                <w:szCs w:val="17"/>
                <w:lang w:val="en-US"/>
              </w:rPr>
              <w:t xml:space="preserve"> Mean BOLD responses in V1</w:t>
            </w:r>
          </w:p>
        </w:tc>
        <w:tc>
          <w:tcPr>
            <w:tcW w:w="881" w:type="dxa"/>
          </w:tcPr>
          <w:p w:rsidR="005E72E9" w:rsidRDefault="00691168" w:rsidP="00C33992">
            <w:pPr>
              <w:pStyle w:val="NormalWeb"/>
              <w:spacing w:after="0" w:line="360" w:lineRule="auto"/>
              <w:jc w:val="right"/>
              <w:rPr>
                <w:lang w:val="en-GB"/>
              </w:rPr>
            </w:pPr>
            <w:r>
              <w:rPr>
                <w:lang w:val="en-GB"/>
              </w:rPr>
              <w:t>126</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Fig.37</w:t>
            </w:r>
            <w:r w:rsidRPr="00895811">
              <w:rPr>
                <w:color w:val="000000"/>
                <w:szCs w:val="17"/>
                <w:lang w:val="en-US"/>
              </w:rPr>
              <w:t xml:space="preserve"> Karni and Sagi's task. Scheme of one trial.</w:t>
            </w:r>
          </w:p>
        </w:tc>
        <w:tc>
          <w:tcPr>
            <w:tcW w:w="881" w:type="dxa"/>
          </w:tcPr>
          <w:p w:rsidR="005E72E9" w:rsidRDefault="00691168" w:rsidP="00C33992">
            <w:pPr>
              <w:pStyle w:val="NormalWeb"/>
              <w:spacing w:after="0" w:line="360" w:lineRule="auto"/>
              <w:jc w:val="right"/>
              <w:rPr>
                <w:lang w:val="en-GB"/>
              </w:rPr>
            </w:pPr>
            <w:r>
              <w:rPr>
                <w:lang w:val="en-GB"/>
              </w:rPr>
              <w:t>136</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Fig.38</w:t>
            </w:r>
            <w:r w:rsidRPr="00895811">
              <w:rPr>
                <w:color w:val="000000"/>
                <w:szCs w:val="17"/>
                <w:lang w:val="en-US"/>
              </w:rPr>
              <w:t xml:space="preserve"> Localizer.</w:t>
            </w:r>
          </w:p>
        </w:tc>
        <w:tc>
          <w:tcPr>
            <w:tcW w:w="881" w:type="dxa"/>
          </w:tcPr>
          <w:p w:rsidR="005E72E9" w:rsidRDefault="00691168" w:rsidP="00C33992">
            <w:pPr>
              <w:pStyle w:val="NormalWeb"/>
              <w:spacing w:after="0" w:line="360" w:lineRule="auto"/>
              <w:jc w:val="right"/>
              <w:rPr>
                <w:lang w:val="en-GB"/>
              </w:rPr>
            </w:pPr>
            <w:r>
              <w:rPr>
                <w:lang w:val="en-GB"/>
              </w:rPr>
              <w:t>137</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Fig.39</w:t>
            </w:r>
            <w:r w:rsidRPr="00895811">
              <w:rPr>
                <w:color w:val="000000"/>
                <w:szCs w:val="17"/>
                <w:lang w:val="en-US"/>
              </w:rPr>
              <w:t xml:space="preserve"> % correct responses for each run and each day averaged across subjects</w:t>
            </w:r>
          </w:p>
        </w:tc>
        <w:tc>
          <w:tcPr>
            <w:tcW w:w="881" w:type="dxa"/>
          </w:tcPr>
          <w:p w:rsidR="005E72E9" w:rsidRDefault="00691168" w:rsidP="00C33992">
            <w:pPr>
              <w:pStyle w:val="NormalWeb"/>
              <w:spacing w:after="0" w:line="360" w:lineRule="auto"/>
              <w:jc w:val="right"/>
              <w:rPr>
                <w:lang w:val="en-GB"/>
              </w:rPr>
            </w:pPr>
            <w:r>
              <w:rPr>
                <w:lang w:val="en-GB"/>
              </w:rPr>
              <w:t>138</w:t>
            </w:r>
          </w:p>
        </w:tc>
      </w:tr>
      <w:tr w:rsidR="005E72E9">
        <w:tc>
          <w:tcPr>
            <w:tcW w:w="8330" w:type="dxa"/>
          </w:tcPr>
          <w:p w:rsidR="005E72E9" w:rsidRPr="00895811" w:rsidRDefault="005E72E9" w:rsidP="00C33992">
            <w:pPr>
              <w:pStyle w:val="NormalWeb"/>
              <w:spacing w:after="0" w:line="360" w:lineRule="auto"/>
              <w:rPr>
                <w:b/>
                <w:lang w:val="en-GB"/>
              </w:rPr>
            </w:pPr>
            <w:r>
              <w:rPr>
                <w:color w:val="000000"/>
                <w:szCs w:val="17"/>
                <w:lang w:val="en-US"/>
              </w:rPr>
              <w:t>Fig.40</w:t>
            </w:r>
            <w:r w:rsidRPr="00895811">
              <w:rPr>
                <w:color w:val="000000"/>
                <w:szCs w:val="17"/>
                <w:lang w:val="en-US"/>
              </w:rPr>
              <w:t xml:space="preserve"> BOLD stimulus responses for each visual area</w:t>
            </w:r>
          </w:p>
        </w:tc>
        <w:tc>
          <w:tcPr>
            <w:tcW w:w="881" w:type="dxa"/>
          </w:tcPr>
          <w:p w:rsidR="005E72E9" w:rsidRDefault="00691168" w:rsidP="00C33992">
            <w:pPr>
              <w:pStyle w:val="NormalWeb"/>
              <w:spacing w:after="0" w:line="360" w:lineRule="auto"/>
              <w:jc w:val="right"/>
              <w:rPr>
                <w:lang w:val="en-GB"/>
              </w:rPr>
            </w:pPr>
            <w:r>
              <w:rPr>
                <w:lang w:val="en-GB"/>
              </w:rPr>
              <w:t>138</w:t>
            </w:r>
          </w:p>
        </w:tc>
      </w:tr>
      <w:tr w:rsidR="005E72E9">
        <w:tc>
          <w:tcPr>
            <w:tcW w:w="8330" w:type="dxa"/>
          </w:tcPr>
          <w:p w:rsidR="005E72E9" w:rsidRPr="00895811" w:rsidRDefault="005E72E9" w:rsidP="00C33992">
            <w:pPr>
              <w:pStyle w:val="NormalWeb"/>
              <w:spacing w:after="0" w:line="360" w:lineRule="auto"/>
              <w:rPr>
                <w:b/>
                <w:lang w:val="en-GB"/>
              </w:rPr>
            </w:pPr>
          </w:p>
        </w:tc>
        <w:tc>
          <w:tcPr>
            <w:tcW w:w="881" w:type="dxa"/>
          </w:tcPr>
          <w:p w:rsidR="005E72E9" w:rsidRDefault="005E72E9" w:rsidP="00C33992">
            <w:pPr>
              <w:pStyle w:val="NormalWeb"/>
              <w:spacing w:after="0" w:line="360" w:lineRule="auto"/>
              <w:jc w:val="right"/>
              <w:rPr>
                <w:lang w:val="en-GB"/>
              </w:rPr>
            </w:pPr>
          </w:p>
        </w:tc>
      </w:tr>
    </w:tbl>
    <w:p w:rsidR="000262BE" w:rsidRPr="00733C46" w:rsidRDefault="000262BE" w:rsidP="000262BE">
      <w:pPr>
        <w:pStyle w:val="NormalWeb"/>
        <w:spacing w:after="0" w:line="360" w:lineRule="auto"/>
        <w:rPr>
          <w:sz w:val="36"/>
          <w:szCs w:val="36"/>
          <w:lang w:val="en-US"/>
        </w:rPr>
      </w:pPr>
    </w:p>
    <w:p w:rsidR="000262BE" w:rsidRDefault="000262BE" w:rsidP="000262BE">
      <w:pPr>
        <w:pStyle w:val="NormalWeb"/>
        <w:spacing w:after="0" w:line="360" w:lineRule="auto"/>
        <w:rPr>
          <w:sz w:val="36"/>
          <w:szCs w:val="36"/>
          <w:lang w:val="en-US"/>
        </w:rPr>
      </w:pPr>
    </w:p>
    <w:p w:rsidR="000262BE" w:rsidRPr="006E43E1" w:rsidRDefault="000262BE" w:rsidP="000262BE">
      <w:pPr>
        <w:pStyle w:val="NormalWeb"/>
        <w:spacing w:after="0" w:line="360" w:lineRule="auto"/>
        <w:rPr>
          <w:sz w:val="36"/>
          <w:szCs w:val="36"/>
          <w:lang w:val="en-US"/>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773D4" w:rsidRDefault="000773D4" w:rsidP="000773D4">
      <w:pPr>
        <w:pStyle w:val="NormalWeb"/>
        <w:spacing w:after="0" w:line="360" w:lineRule="auto"/>
        <w:jc w:val="center"/>
        <w:outlineLvl w:val="0"/>
        <w:rPr>
          <w:b/>
          <w:sz w:val="36"/>
          <w:szCs w:val="36"/>
          <w:lang w:val="en-GB"/>
        </w:rPr>
      </w:pPr>
      <w:r>
        <w:rPr>
          <w:b/>
          <w:sz w:val="36"/>
          <w:szCs w:val="36"/>
          <w:lang w:val="en-GB"/>
        </w:rPr>
        <w:t>Acknowledgments</w:t>
      </w:r>
    </w:p>
    <w:p w:rsidR="000773D4" w:rsidRDefault="000773D4" w:rsidP="000773D4">
      <w:pPr>
        <w:pStyle w:val="NormalWeb"/>
        <w:spacing w:after="0" w:line="360" w:lineRule="auto"/>
        <w:jc w:val="both"/>
        <w:rPr>
          <w:rFonts w:cs="Arial"/>
          <w:color w:val="000000"/>
          <w:lang w:val="en-US"/>
        </w:rPr>
      </w:pPr>
      <w:r w:rsidRPr="00426857">
        <w:rPr>
          <w:szCs w:val="36"/>
          <w:lang w:val="en-GB"/>
        </w:rPr>
        <w:t xml:space="preserve">The completion of this thesis </w:t>
      </w:r>
      <w:r w:rsidRPr="00426857">
        <w:rPr>
          <w:rFonts w:cs="Arial"/>
          <w:color w:val="000000"/>
          <w:lang w:val="en-US"/>
        </w:rPr>
        <w:t>would not have been possible without several people who supported and helped me through these years.</w:t>
      </w:r>
      <w:r>
        <w:rPr>
          <w:rFonts w:cs="Arial"/>
          <w:color w:val="000000"/>
          <w:lang w:val="en-US"/>
        </w:rPr>
        <w:t xml:space="preserve">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First of all I want to thank my supervisor, Prof. Andrew T. Smith, who since the first day of my Phd has been a great teacher in many different ways, both inside and outside of the lab.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Second I want to thank my secondary supervisor, Prof. John Wann, for the precious suggestions on my works and the fun at our many lab lunches.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I want to thank all the people of the department of psychology of Royal Holloway University of London for the relaxed and very productive environment they offered me, during those three years.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I’m also grateful to all the people of the CODDE network for the support and the extraordinary training and resources they offered. Nevertheless I have to thank the European Community for founding this beautiful experience.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Finally I want to thank all the people who, from outside, accompanied me through this journey. My friends in London, who have been able to make me feel at home everyday, they have been more a great family than simple friends.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My many old friends </w:t>
      </w:r>
      <w:r w:rsidRPr="00FF192A">
        <w:rPr>
          <w:rFonts w:cs="Arial"/>
          <w:color w:val="000000"/>
          <w:lang w:val="en-US"/>
        </w:rPr>
        <w:t>elsewhere in the world, whom I constantly miss and wish they were here</w:t>
      </w:r>
      <w:r>
        <w:rPr>
          <w:rFonts w:cs="Arial"/>
          <w:color w:val="000000"/>
          <w:lang w:val="en-US"/>
        </w:rPr>
        <w:t xml:space="preserve">. </w:t>
      </w:r>
    </w:p>
    <w:p w:rsidR="000773D4" w:rsidRDefault="000773D4" w:rsidP="000773D4">
      <w:pPr>
        <w:pStyle w:val="NormalWeb"/>
        <w:spacing w:after="0" w:line="360" w:lineRule="auto"/>
        <w:jc w:val="both"/>
        <w:rPr>
          <w:rFonts w:cs="Arial"/>
          <w:color w:val="000000"/>
          <w:lang w:val="en-US"/>
        </w:rPr>
      </w:pPr>
      <w:r>
        <w:rPr>
          <w:rFonts w:cs="Arial"/>
          <w:color w:val="000000"/>
          <w:lang w:val="en-US"/>
        </w:rPr>
        <w:t xml:space="preserve">I want to thank my “real” family. Even miles away, they have been by my side constantly, so I could never felt alone. You know how without you love I couldn’t be able to be who I am right now. </w:t>
      </w:r>
    </w:p>
    <w:p w:rsidR="000773D4" w:rsidRPr="00426857" w:rsidRDefault="000773D4" w:rsidP="000773D4">
      <w:pPr>
        <w:pStyle w:val="NormalWeb"/>
        <w:spacing w:after="0" w:line="360" w:lineRule="auto"/>
        <w:jc w:val="both"/>
        <w:rPr>
          <w:szCs w:val="36"/>
          <w:lang w:val="en-GB"/>
        </w:rPr>
      </w:pPr>
      <w:r>
        <w:rPr>
          <w:rFonts w:cs="Arial"/>
          <w:color w:val="000000"/>
          <w:lang w:val="en-US"/>
        </w:rPr>
        <w:t>Last but (definitely) not least, my girlfriend Silvia, who has been the most beautiful gift of this incredible experience. Our love is the best destination I could ever wish to reach at the end of this journey.</w:t>
      </w:r>
    </w:p>
    <w:p w:rsidR="000773D4" w:rsidRDefault="000773D4" w:rsidP="000773D4">
      <w:pPr>
        <w:pStyle w:val="NormalWeb"/>
        <w:spacing w:after="0" w:line="360" w:lineRule="auto"/>
        <w:rPr>
          <w:sz w:val="36"/>
          <w:szCs w:val="36"/>
          <w:lang w:val="en-GB"/>
        </w:rPr>
      </w:pPr>
    </w:p>
    <w:p w:rsidR="006A37F5" w:rsidRPr="00BE20BE" w:rsidRDefault="006A37F5" w:rsidP="000262BE">
      <w:pPr>
        <w:spacing w:before="100" w:beforeAutospacing="1"/>
        <w:outlineLvl w:val="0"/>
        <w:rPr>
          <w:rFonts w:ascii="Times New Roman" w:eastAsia="Times New Roman" w:hAnsi="Times New Roman" w:cs="Times New Roman"/>
          <w:b/>
          <w:sz w:val="24"/>
          <w:szCs w:val="24"/>
          <w:lang w:val="en-GB" w:eastAsia="it-IT"/>
        </w:rPr>
      </w:pPr>
      <w:r w:rsidRPr="00BE20BE">
        <w:rPr>
          <w:rFonts w:ascii="Times New Roman" w:eastAsia="Times New Roman" w:hAnsi="Times New Roman" w:cs="Times New Roman"/>
          <w:b/>
          <w:color w:val="000000"/>
          <w:sz w:val="24"/>
          <w:szCs w:val="24"/>
          <w:lang w:val="en-GB" w:eastAsia="it-IT"/>
        </w:rPr>
        <w:t>Part 1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BE20BE" w:rsidRDefault="006A37F5" w:rsidP="000262BE">
      <w:pPr>
        <w:spacing w:before="100" w:beforeAutospacing="1"/>
        <w:outlineLvl w:val="0"/>
        <w:rPr>
          <w:rFonts w:ascii="Times New Roman" w:eastAsia="Times New Roman" w:hAnsi="Times New Roman" w:cs="Times New Roman"/>
          <w:b/>
          <w:sz w:val="24"/>
          <w:szCs w:val="24"/>
          <w:lang w:val="en-GB" w:eastAsia="it-IT"/>
        </w:rPr>
      </w:pPr>
      <w:r w:rsidRPr="00BE20BE">
        <w:rPr>
          <w:rFonts w:ascii="Times New Roman" w:eastAsia="Times New Roman" w:hAnsi="Times New Roman" w:cs="Times New Roman"/>
          <w:b/>
          <w:color w:val="000000"/>
          <w:sz w:val="24"/>
          <w:szCs w:val="24"/>
          <w:lang w:val="en-GB" w:eastAsia="it-IT"/>
        </w:rPr>
        <w:t>Chapter 1.1 Theoretical background</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000000"/>
          <w:sz w:val="24"/>
          <w:szCs w:val="24"/>
          <w:lang w:val="en-GB" w:eastAsia="it-IT"/>
        </w:rPr>
        <w:t>1.1.1 Arousal and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D12FC0" w:rsidRPr="006A37F5" w:rsidRDefault="006A37F5" w:rsidP="00D12FC0">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Mechanisms of attention are related to energetic constructs such as arousal and activation, which generally connote some level of non-specific neuronal excitability deriving from the structures formerly known as the reticular formation but now generally referred to as specific chemically defined or thalamic systems that innervate the forebrain (Robbins and Everitt, 1995a). Activity in some of these systems, especially the monoaminergic or cholinergic systems, is often correlated with higher levels of arousal such as active wakefulness or response to stress. As a consequence of such activity, these systems can modulate the functioning of neural networks in their terminal domains. The relative capacities and forms of processing affected by the functioning of the monoaminergic and cholinergic system have been investigated as effects that can be interpreted as the operation of crude attentional processes. Some of the initial rationale for studying attentional function in animals came from characterizing effects of psychoactive drugs of various classes, including stimulants and sedative and tranquilizing agents via the systemic route (Uhr and Miller, 1960). Those studies are a first and important step to characterize some different states as arousal and vigilance and moreover to find the precise cortical and subcortical areas involved in those processes. Moreover a set of different experimental paradigms are involved to study the different types of attention, such as automatic and voluntary. The aim of all these strategies is to solve different degrees of a process that goes from the capacity of the brain to modulate its activities (different strength of general arousal) to the molecular properties of different areas involved, and from the different varieties of attention (automatic or controlled) to different theories and networks that could explain these modulations of behaviour.</w:t>
      </w:r>
      <w:r w:rsidR="00D12FC0">
        <w:rPr>
          <w:rFonts w:ascii="Times New Roman" w:eastAsia="Times New Roman" w:hAnsi="Times New Roman" w:cs="Times New Roman"/>
          <w:color w:val="000000"/>
          <w:sz w:val="24"/>
          <w:szCs w:val="24"/>
          <w:lang w:val="en-GB" w:eastAsia="it-IT"/>
        </w:rPr>
        <w:t xml:space="preserve"> </w:t>
      </w:r>
      <w:r w:rsidR="00D12FC0" w:rsidRPr="006A37F5">
        <w:rPr>
          <w:rFonts w:ascii="Times New Roman" w:eastAsia="Times New Roman" w:hAnsi="Times New Roman" w:cs="Times New Roman"/>
          <w:color w:val="000000"/>
          <w:sz w:val="24"/>
          <w:szCs w:val="24"/>
          <w:lang w:val="en-GB" w:eastAsia="it-IT"/>
        </w:rPr>
        <w:t>To demonstrate some of the results around the effects of some neurotransmitters for attentional modulations very briefly, several experiments on animals have shown, for example, that the cholinergic system (effect of systemic muscarinic antagonist receptors), in both rats and monkeys, is related to the decrease of the performance of different paradigms which involve sustained and divided attention (Olton et al., 1988; Robbins et al., 1989; Muir et al., 1994; Jones et al., 1995; McGaughy, Kaiser, and Sarter, 1996). The striatal dopaminergic system appears to be involved in attentional processes such as readiness that may operate at the output stage on mechanisms related to response preparation (Brown and Robbins, 1991). Concerning the coruleo-cortical noradrenergic projection, it seems to have a role in vigilance (Aston-Jones et al., 1991), and other data, for example the five-choice task (Cole and Robbins, 1992) suggest an involvement in a wider range of attentional processes. In conclusion there is considerable interest in the attentional capacities of experimental animals because of the useful perspective that they provide on the neural substrates of attention. Data from animal tests supplement, for example, studies of brain-damaged patients and functional neuroimaging studies of normal volunteers.</w:t>
      </w:r>
    </w:p>
    <w:p w:rsidR="00101998" w:rsidRPr="002F6313" w:rsidRDefault="00101998" w:rsidP="00101998">
      <w:pPr>
        <w:spacing w:before="100" w:beforeAutospacing="1"/>
        <w:outlineLvl w:val="0"/>
        <w:rPr>
          <w:rFonts w:ascii="Times New Roman" w:hAnsi="Times New Roman"/>
          <w:sz w:val="24"/>
          <w:szCs w:val="28"/>
          <w:lang w:val="en-US"/>
        </w:rPr>
      </w:pPr>
    </w:p>
    <w:p w:rsidR="00101998" w:rsidRDefault="00101998" w:rsidP="00101998">
      <w:pPr>
        <w:spacing w:before="100" w:beforeAutospacing="1"/>
        <w:outlineLvl w:val="0"/>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2F6313">
        <w:rPr>
          <w:rFonts w:ascii="Times New Roman" w:eastAsia="Times New Roman" w:hAnsi="Times New Roman" w:cs="Times New Roman"/>
          <w:color w:val="000000"/>
          <w:sz w:val="24"/>
          <w:szCs w:val="24"/>
          <w:lang w:val="en-GB" w:eastAsia="it-IT"/>
        </w:rPr>
        <w:t>2</w:t>
      </w:r>
      <w:r w:rsidRPr="006A37F5">
        <w:rPr>
          <w:rFonts w:ascii="Times New Roman" w:eastAsia="Times New Roman" w:hAnsi="Times New Roman" w:cs="Times New Roman"/>
          <w:color w:val="000000"/>
          <w:sz w:val="24"/>
          <w:szCs w:val="24"/>
          <w:lang w:val="en-GB" w:eastAsia="it-IT"/>
        </w:rPr>
        <w:t xml:space="preserve"> Theories of attention</w:t>
      </w:r>
    </w:p>
    <w:p w:rsidR="002F6313" w:rsidRPr="006A37F5" w:rsidRDefault="002F6313" w:rsidP="00101998">
      <w:pPr>
        <w:spacing w:before="100" w:beforeAutospacing="1"/>
        <w:outlineLvl w:val="0"/>
        <w:rPr>
          <w:rFonts w:ascii="Times New Roman" w:eastAsia="Times New Roman" w:hAnsi="Times New Roman" w:cs="Times New Roman"/>
          <w:sz w:val="24"/>
          <w:szCs w:val="24"/>
          <w:lang w:val="en-GB" w:eastAsia="it-IT"/>
        </w:rPr>
      </w:pPr>
    </w:p>
    <w:p w:rsidR="00101998" w:rsidRPr="006A37F5" w:rsidRDefault="00101998" w:rsidP="00101998">
      <w:pPr>
        <w:spacing w:before="100" w:beforeAutospacing="1"/>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The diversity of attentional functions has been discussed since at least the time of James (1</w:t>
      </w:r>
      <w:r>
        <w:rPr>
          <w:rFonts w:ascii="Times New Roman" w:eastAsia="Times New Roman" w:hAnsi="Times New Roman" w:cs="Times New Roman"/>
          <w:color w:val="000000"/>
          <w:sz w:val="24"/>
          <w:szCs w:val="24"/>
          <w:lang w:val="en-GB" w:eastAsia="it-IT"/>
        </w:rPr>
        <w:t>89</w:t>
      </w:r>
      <w:r w:rsidRPr="006A37F5">
        <w:rPr>
          <w:rFonts w:ascii="Times New Roman" w:eastAsia="Times New Roman" w:hAnsi="Times New Roman" w:cs="Times New Roman"/>
          <w:color w:val="000000"/>
          <w:sz w:val="24"/>
          <w:szCs w:val="24"/>
          <w:lang w:val="en-GB" w:eastAsia="it-IT"/>
        </w:rPr>
        <w:t>0). James distinguished between sensory attention driven by environmental events and voluntary attention to both external stimuli and to internal thoughts.</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Over more than 100 years many different theories have been formulated to try to interpret all the varieties of attentional process. In general, whereas behavioural studies have been useful in identifying the functional characteristics of attention, neuroscience studies have enabled further examination of how and why those functions are implemented in the brain.</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000000"/>
          <w:sz w:val="24"/>
          <w:szCs w:val="24"/>
          <w:lang w:val="en-GB" w:eastAsia="it-IT"/>
        </w:rPr>
        <w:t>Although the diversity of attention is recognised, it is also true that no completely satisfactory taxonomy of attention has been put forward. Nevertheless, different major aspects of attention can and have been distinguished.</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The variety of all these aspects make it difficult to formulate an extensive single theory of what attention is. One advantage would be to individuate the relative independence and fundamental importance of at least three components: selection, vigilance, and control. Although Posner and Boies (1971) used somewhat different terms (selection, alertness, and capacity), they showed, on the basis of behavioural evidence, that these components of attention have different functional characteristics. The distinction has been reinforced by the results of more recent cognitive neuroscience investigations.</w:t>
      </w:r>
    </w:p>
    <w:p w:rsidR="00101998" w:rsidRDefault="00101998" w:rsidP="00101998">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 xml:space="preserve">In a broad sense, all the three components of attention can be thought of as serving the purpose of allowing for and maintaining goal-directed behaviour in the face of multiple, competing distractions. </w:t>
      </w:r>
    </w:p>
    <w:p w:rsidR="002F6313" w:rsidRPr="006A37F5" w:rsidRDefault="002F6313" w:rsidP="00101998">
      <w:pPr>
        <w:spacing w:before="100" w:beforeAutospacing="1"/>
        <w:ind w:firstLine="708"/>
        <w:jc w:val="both"/>
        <w:rPr>
          <w:rFonts w:ascii="Times New Roman" w:eastAsia="Times New Roman" w:hAnsi="Times New Roman" w:cs="Times New Roman"/>
          <w:sz w:val="24"/>
          <w:szCs w:val="24"/>
          <w:lang w:val="en-US" w:eastAsia="it-IT"/>
        </w:rPr>
      </w:pPr>
    </w:p>
    <w:p w:rsidR="00101998" w:rsidRDefault="00101998" w:rsidP="0010199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2F6313">
        <w:rPr>
          <w:rFonts w:ascii="Times New Roman" w:eastAsia="Times New Roman" w:hAnsi="Times New Roman" w:cs="Times New Roman"/>
          <w:color w:val="000000"/>
          <w:sz w:val="24"/>
          <w:szCs w:val="24"/>
          <w:lang w:val="en-GB" w:eastAsia="it-IT"/>
        </w:rPr>
        <w:t>3</w:t>
      </w:r>
      <w:r>
        <w:rPr>
          <w:rFonts w:ascii="Times New Roman" w:eastAsia="Times New Roman" w:hAnsi="Times New Roman" w:cs="Times New Roman"/>
          <w:color w:val="000000"/>
          <w:sz w:val="24"/>
          <w:szCs w:val="24"/>
          <w:lang w:val="en-GB" w:eastAsia="it-IT"/>
        </w:rPr>
        <w:t xml:space="preserve"> What is attention? </w:t>
      </w:r>
    </w:p>
    <w:p w:rsidR="002F6313" w:rsidRDefault="002F6313" w:rsidP="00101998">
      <w:pPr>
        <w:spacing w:before="100" w:beforeAutospacing="1"/>
        <w:jc w:val="both"/>
        <w:rPr>
          <w:rFonts w:ascii="Times New Roman" w:eastAsia="Times New Roman" w:hAnsi="Times New Roman" w:cs="Times New Roman"/>
          <w:color w:val="000000"/>
          <w:sz w:val="24"/>
          <w:szCs w:val="24"/>
          <w:lang w:val="en-GB" w:eastAsia="it-IT"/>
        </w:rPr>
      </w:pPr>
    </w:p>
    <w:p w:rsidR="00101998" w:rsidRDefault="00101998" w:rsidP="00101998">
      <w:pPr>
        <w:spacing w:before="100" w:beforeAutospacing="1"/>
        <w:ind w:firstLine="708"/>
        <w:jc w:val="both"/>
        <w:rPr>
          <w:rFonts w:ascii="Times New Roman" w:hAnsi="Times New Roman"/>
          <w:sz w:val="24"/>
          <w:szCs w:val="28"/>
          <w:lang w:val="en-US"/>
        </w:rPr>
      </w:pPr>
      <w:r w:rsidRPr="00101998">
        <w:rPr>
          <w:rFonts w:ascii="Times New Roman" w:eastAsia="Times New Roman" w:hAnsi="Times New Roman" w:cs="Times New Roman"/>
          <w:color w:val="000000"/>
          <w:sz w:val="24"/>
          <w:szCs w:val="24"/>
          <w:lang w:val="en-GB" w:eastAsia="it-IT"/>
        </w:rPr>
        <w:t xml:space="preserve">The purpose of this thesis is to investigate some of the properties of  attention intended not as an arousal process in the brain but as the relationship of this biological process and its outcome in the sense of  behaviour and adaptation with the environment. Selective attention is then </w:t>
      </w:r>
      <w:r w:rsidRPr="002F6313">
        <w:rPr>
          <w:rFonts w:ascii="Times New Roman" w:hAnsi="Times New Roman"/>
          <w:sz w:val="24"/>
          <w:szCs w:val="28"/>
          <w:lang w:val="en-US"/>
        </w:rPr>
        <w:t>the process by which a person can selectively pick out one message from a mixture of messages occurring simultaneously</w:t>
      </w:r>
    </w:p>
    <w:p w:rsidR="002F6313" w:rsidRDefault="002F6313" w:rsidP="00101998">
      <w:pPr>
        <w:spacing w:before="100" w:beforeAutospacing="1"/>
        <w:ind w:firstLine="708"/>
        <w:jc w:val="both"/>
        <w:rPr>
          <w:rFonts w:ascii="Times New Roman" w:eastAsia="Times New Roman" w:hAnsi="Times New Roman" w:cs="Times New Roman"/>
          <w:color w:val="000000"/>
          <w:sz w:val="24"/>
          <w:szCs w:val="24"/>
          <w:lang w:val="en-GB" w:eastAsia="it-IT"/>
        </w:rPr>
      </w:pPr>
    </w:p>
    <w:p w:rsidR="00101998" w:rsidRDefault="00101998" w:rsidP="0010199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1.1.4 Selective attention.</w:t>
      </w:r>
    </w:p>
    <w:p w:rsidR="002F6313" w:rsidRDefault="002F6313" w:rsidP="00101998">
      <w:pPr>
        <w:spacing w:before="100" w:beforeAutospacing="1"/>
        <w:jc w:val="both"/>
        <w:rPr>
          <w:rFonts w:ascii="Times New Roman" w:eastAsia="Times New Roman" w:hAnsi="Times New Roman" w:cs="Times New Roman"/>
          <w:color w:val="000000"/>
          <w:sz w:val="24"/>
          <w:szCs w:val="24"/>
          <w:lang w:val="en-GB" w:eastAsia="it-IT"/>
        </w:rPr>
      </w:pP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 critically important component is selection, which is perhaps the most widely studied area of attention. Selectivity of processing is required because of the computational limitations imposed by fully parallel processing of all sources on any intelligent agent (animate or inanimate) (Niebur and Koch, 2000).The physiological properties (e.g., large receptive field size) of neurons in higher perceptual processing areas of the primate brain are also consistent with such a computational limitation (Desimone and Duncan, 1995). The primate brain presumably evolved mechanisms of selective attention to cope with that limitation. Views differ on whether attention selection is facilitatory (LaBerge and Brown, 1989), inhibitory (Tipper, 1985) or both (Posner and Dehaene, 1994), and on whether selection is location based (Cave and Pashler, 1995), object based (Duncan, 1984), or object token-based (Kanwisher and Driver, 1992); the requirement for selectivity, however, is not disputed seriously.</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Without this selectivity, organisms would be ill-equipped to act coherently in the face of competing and distracting sources of stimulation in the environment. If selective attention serves coherent, goal directed behaviour, vigilance (or sustained attention) ensures that the goals are maintained over the time. The need for sustained attention defines a component of attention that is distinct from selection. In fact, some evidence suggests that selective and sustained attention might be opponent processes that ensure a kind of attentional balance in the organism. For example, although a high rate of stimulus presentation increases selectivity and enhances focused attention (Posner, Cohen, Choate, Hockey, and Maylor, 1984) and associated brain electrical activity (Hillyard, Hink, Schwent, and Picton, 1973), it decreases vigilance (Parasuraman, 1979; See, Howe, Warm, and Dember, 1995). Conversely, a spatial cue that temporarily inhibits location based selection (Posner, 1980) enhances vigilance (Bahri and Parasuraman, 1989). Irrespective of the correctness of this view, and without implying that selection cannot be maintained for long periods of time (i.e., that selective sustained attention is not possible), a large body of behavioural data points to a distinction between these two forms of attention.</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This ability to sustain information processing activity over time in the face of distraction is only one means of maintaining goal directness. The activity may need to be temporarily stopped (in order to respond to some other important information) and then resumed; there may be other concurrent activities; and the future course of all such activities must be coordinated. The term attentional control has been applied to this function of attention. Theories of working memory (Baddeley, 1986) and of planning (Norman and Shallice, 1986) prominently feature the concept of control.</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In contrast to selection and vigilance, attention control is less well understood. The control function has often been associated with a so called central executive that coordinates and manages all information processing activities in the brain. Some of the dissatisfaction with the diversity of definitions of attention may stem from the many functions that are subsumed under the concept of a central executive (Allport, 1993). One aspect of attentional control provides possibly the only support for the argument that attention involves a special function that is quite distinct from other functions as perception and memory. For example, it has been argued that selective attention reflects the interaction of mechanisms of perception and working memory (Desimone and Duncan, 1995) and that sustained attention can be incorporated within theories of arousal and sleep (Kinomura, Larsson, Gulyas, and Roland, 1996), in which case the separate status of attention is put in jeopardy. There is one characteristic of attention, however, that cannot be easily accounted for in terms of other theories. In a now classic study, Duncan (1980) showed that people can effectively monitor many sources of information without loss in efficiency, but only when critical targets do not occur simultaneously. The moment that attention is given to a source in order to detect a target, processing of targets at any other source is dramatically reduced. This fundamental limitation in attentional control cannot be explained by a sensory deficiency, by a deficit in working memory, or by a problem in motor control.</w:t>
      </w:r>
    </w:p>
    <w:p w:rsidR="00101998" w:rsidRDefault="00101998" w:rsidP="00101998">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Processing multiple simultaneous targets is only one aspect of attentional control. The challenge is to develop similarly well-specified conceptualizations of other subcomponents of attentional control that can be tested rigorously.</w:t>
      </w:r>
    </w:p>
    <w:p w:rsidR="00101998" w:rsidRDefault="00101998" w:rsidP="00101998">
      <w:pPr>
        <w:spacing w:before="100" w:beforeAutospacing="1"/>
        <w:ind w:firstLine="708"/>
        <w:jc w:val="both"/>
        <w:rPr>
          <w:rFonts w:ascii="Times New Roman" w:eastAsia="Times New Roman" w:hAnsi="Times New Roman" w:cs="Times New Roman"/>
          <w:color w:val="000000"/>
          <w:sz w:val="24"/>
          <w:szCs w:val="24"/>
          <w:lang w:val="en-GB" w:eastAsia="it-IT"/>
        </w:rPr>
      </w:pPr>
    </w:p>
    <w:p w:rsidR="00101998" w:rsidRDefault="00101998" w:rsidP="0010199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1.1.5 Early versus Late models of attention</w:t>
      </w:r>
    </w:p>
    <w:p w:rsidR="002F6313" w:rsidRDefault="002F6313" w:rsidP="00101998">
      <w:pPr>
        <w:spacing w:before="100" w:beforeAutospacing="1"/>
        <w:jc w:val="both"/>
        <w:rPr>
          <w:rFonts w:ascii="Times New Roman" w:eastAsia="Times New Roman" w:hAnsi="Times New Roman" w:cs="Times New Roman"/>
          <w:color w:val="000000"/>
          <w:sz w:val="24"/>
          <w:szCs w:val="24"/>
          <w:lang w:val="en-GB" w:eastAsia="it-IT"/>
        </w:rPr>
      </w:pPr>
    </w:p>
    <w:p w:rsidR="00101998" w:rsidRPr="00762CE0" w:rsidRDefault="00101998" w:rsidP="00101998">
      <w:pPr>
        <w:spacing w:before="100" w:beforeAutospacing="1"/>
        <w:jc w:val="both"/>
        <w:rPr>
          <w:rFonts w:ascii="Times New Roman" w:eastAsia="Times New Roman" w:hAnsi="Times New Roman" w:cs="Times New Roman"/>
          <w:sz w:val="24"/>
          <w:szCs w:val="24"/>
          <w:lang w:val="en-US" w:eastAsia="it-IT"/>
        </w:rPr>
      </w:pPr>
      <w:r w:rsidRPr="00762CE0">
        <w:rPr>
          <w:rFonts w:ascii="Times New Roman" w:eastAsia="Times New Roman" w:hAnsi="Times New Roman" w:cs="Times New Roman"/>
          <w:color w:val="000000"/>
          <w:sz w:val="24"/>
          <w:szCs w:val="24"/>
          <w:lang w:val="en-GB" w:eastAsia="it-IT"/>
        </w:rPr>
        <w:t xml:space="preserve">In the sense of what is happening inside the brain (in this case the visual network) many models are present in literature trying to find the locus in the network where this “filter” (selection) is taking place. </w:t>
      </w:r>
      <w:r w:rsidRPr="002F6313">
        <w:rPr>
          <w:rFonts w:ascii="Times New Roman" w:hAnsi="Times New Roman"/>
          <w:sz w:val="24"/>
          <w:lang w:val="en-US"/>
        </w:rPr>
        <w:t>Models proposed by Broadbent (1957) and Treisman (1960) attempted to explain the process by which we attend to certain information, but not all information available to us. The initial model was termed the bottleneck theory of attention, since information could only be attended to from one source at any given time. While Broadbent and Treisman's models proposed that the selection filter in attention occurs prior to selection, or pattern recognition stage. Later models by Deutsch and Deutsch (1963), and Norman (1968), attempted to merge growing information regarding memory and the selection process of attention. These more recent models claimed that selection occurs after the pattern recognition stage. In these models attention is equivalent to the selection stage.</w:t>
      </w:r>
    </w:p>
    <w:p w:rsidR="006A37F5" w:rsidRPr="006A37F5" w:rsidRDefault="006A37F5" w:rsidP="002F6313">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sidRPr="006A37F5">
        <w:rPr>
          <w:rFonts w:ascii="Times New Roman" w:eastAsia="Times New Roman" w:hAnsi="Times New Roman" w:cs="Times New Roman"/>
          <w:color w:val="000000"/>
          <w:sz w:val="24"/>
          <w:szCs w:val="24"/>
          <w:lang w:val="en-GB" w:eastAsia="it-IT"/>
        </w:rPr>
        <w:t xml:space="preserve"> Types of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90436"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We could then think about attention as a hierarchic process with different kinds of activities of growing difficulty. Those different processes can be divided into five (Sohlberg and Mateer, 1989), from simple focused attention, which is the ability to respond discretely to specific visual, auditory or tactile stimuli, to sustained attention, that is, the ability to maintain a consistent behavioural response during continuous and repetitive activity, to selective attention, which is the capacity to maintain a behavioural or cognitive set in the face of distracting or competing stimuli, to alternating attention, that refers to the capacity for mental flexibility that allows individuals to shift their focus of attention and move between tasks having different cognitive requirements, to divided attention, that is, the highest level of attention, referring to the ability to respond simultaneously to multiple tasks or multiple task demands.</w:t>
      </w: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.1 Covert vs. Overt  attention</w:t>
      </w:r>
    </w:p>
    <w:p w:rsidR="002F6313" w:rsidRPr="006A37F5" w:rsidRDefault="002F6313" w:rsidP="00CC3A24">
      <w:pPr>
        <w:spacing w:before="100" w:beforeAutospacing="1"/>
        <w:ind w:firstLine="708"/>
        <w:jc w:val="both"/>
        <w:rPr>
          <w:rFonts w:ascii="Times New Roman" w:eastAsia="Times New Roman" w:hAnsi="Times New Roman" w:cs="Times New Roman"/>
          <w:sz w:val="24"/>
          <w:szCs w:val="24"/>
          <w:lang w:val="en-US" w:eastAsia="it-IT"/>
        </w:rPr>
      </w:pPr>
    </w:p>
    <w:p w:rsidR="00690436"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Moreover, attention may be differentiated according to its status as 'overt' versus 'covert'. Overt attention is the act of directing sense organs towards a stimulus source. Covert attention is the act of mentally focusing on one of several possible sensory stimuli. Covert attention is thought to be a neural process that enhances the signal from a particular part of the sensory panorama.</w:t>
      </w: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.2 Vigilance</w:t>
      </w:r>
    </w:p>
    <w:p w:rsidR="002F6313" w:rsidRPr="006A37F5" w:rsidRDefault="002F6313" w:rsidP="00CC3A24">
      <w:pPr>
        <w:spacing w:before="100" w:beforeAutospacing="1"/>
        <w:ind w:firstLine="708"/>
        <w:jc w:val="both"/>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Anyway, an intelligent agent must be vigilant in order to use all those skills. Vigilance can be considered to be a basic, primitive form of attention, without which many other perceptual and cognitive functions would be compromised. There are two main issues of interest around vigilance. The first concerns the functioning of this process and the second concerns the brain regions underlying that system. For the first issue, tasks requiring detection of infrequent, unpredictable events over long periods (sustained attention tasks - Parasuraman and Davies, 1982) show that the quality of attention declines over time. The vigilance decrement can be indexed either by a decline over time in detection rate or by an increment in reaction time for detection (Parasuraman and Davies, 1976). In addition, in vigilance tasks, as in other psychophysical tasks, an observer’s affirmation of the presence or absence of a signal is dependent upon perceptual factors, but also upon decision factors involved into the observer’s detection goals, expectations about the nature of the stimuli, and the anticipated consequences of correct and incorrect responses. From the standpoint of signal detection theory (McMillian and Creelman, 1991; Green and Swets, 1974), those factors comprise the observer’s response criterion or willingness to emit a detection response. A fundamental issue is to ascertain whether the vigilance decrement is due to a loss in sensitivity to signals or to changes in the decision criterion. A similar question has been asked in the analysis of other varieties of attention. For example, a basic issue in the study of spatial selective attention is whether the focusing of attention to a given location enhances perceptual sensitivity to signals presented there (compared to other locations) or whether such spatial focusing only reduces the decision criterion for responding to signals at the location (Posner, 1980; Shaw, 1984). Converging evidence from psychophysical, electrophysiological, and functional brain imaging studies indicates that allocating attention over space seems to have a primary effect on sensitivity (Hawkins et al., 1990; Heinze et al., 1994). Similarly, one can ask whether changes in the allocation of attention over time are associated primarily with changes in the sensitivity or in decision criteria. Unlike spatial selective attention, where effects have been obtained primarily with regard to sensitivity, both sensitivity and criterion changes have been observed during sustained attention. In many cases, the vigilance decrement in detection rate does not involve a decline in perceptual efficiency during a vigil. Rather, it reflects a shift to a more conservative response criterion, either because experience with the task leads observers to develop more rational expectations of the actual (generally very low) signal probability in force during the vigil (Davies and Parasuraman, 1982; Warm and Jerison, 1984), or because they adopted a probability matching strategy (Craig, 1978). In other task conditions, however, a true drop in sensitivity occurs. When a sensitivity decrement occurs, it is generally restricted to demanding tasks that combine a fast event rate (the rate of presentation of stimulus events that need to be inspected for the possibility that they are critical signals) with a memory load and low signal salience (Parasuraman, 1979; Parasuraman, Warm, and Dember, 1987; See, Howe, Warm, and Dember, 1995). Thus, the vigilance decrement in detection rate may be due either to a sensitivity decrement or to a criterion shift over time. These findings indicate that the vigilance decrement reflects multiple underlying processes.</w:t>
      </w:r>
    </w:p>
    <w:p w:rsidR="00690436" w:rsidRDefault="006A37F5" w:rsidP="006A37F5">
      <w:pPr>
        <w:spacing w:before="100" w:beforeAutospacing="1"/>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The second issue concerns the system underlying vigilance. To address this issue, many studies are categorized into three broad categories: electrophysiological experiments, lesion and laterality studies and studies using functional brain imaging techniques. The electrophysiological studies so far support the conclusion that cortical arousal is functionally related to the overall level of vigilance, but not to the vigilance decrement (Parasuraman, 1984; Loeb and Allousi, 1984; Humphreys and Revelle, 1984; Mattews, Davies and Lees, 1990). This pattern of association and dissociation suggests that a similar pattern might hold with respect to brain regions subserving arousal and vigilance. A general principle that has emerged from functional brain imaging research is that most perceptual and cognitive processes are neurally mediated by multiple brain regions, rather than a single area (Posner and Raichle, 1993). The evidence suggests that the multiple areas are anatomically interconnected and are linked together functionally. For example, Posner and Petersen (1990) proposed three interacting networks mediating different aspects of attention: a posterior attention system comprising the parietal, superior colliculus, and pulvinar that is concerned with spatial attention; an anterior system centred on the anterior cingulate in the medial frontal lobe that mediates target detection and executive control; and a vigilance system consisting of the right frontal lobe and brainstem nuclei, principally the noradrenergic LC. Posner and Petersen (1990) also suggested that the vigilance system was right lateralized due to greater innervation of the right hemisphere by ascending noradrenergic pathways. Their model identifies the brainstem reticular formation as playing an important role in vigilance with the frontal cortex.</w:t>
      </w:r>
    </w:p>
    <w:p w:rsidR="002F6313" w:rsidRDefault="002F6313" w:rsidP="006A37F5">
      <w:pPr>
        <w:spacing w:before="100" w:beforeAutospacing="1"/>
        <w:jc w:val="both"/>
        <w:rPr>
          <w:rFonts w:ascii="Times New Roman" w:eastAsia="Times New Roman" w:hAnsi="Times New Roman" w:cs="Times New Roman"/>
          <w:color w:val="000000"/>
          <w:sz w:val="24"/>
          <w:szCs w:val="24"/>
          <w:lang w:val="en-GB" w:eastAsia="it-IT"/>
        </w:rPr>
      </w:pPr>
    </w:p>
    <w:p w:rsidR="006A37F5" w:rsidRPr="006A37F5" w:rsidRDefault="00690436" w:rsidP="006A37F5">
      <w:pPr>
        <w:spacing w:before="100" w:beforeAutospacing="1"/>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.3 Visual search</w:t>
      </w: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After vigilance, another issue around the functioning of attention concerns theories of visual search. The theories of visual search inspired by neurophysiological investigations of early vision have postulated built in visual primitives which determine whether visual search will occur in parallel (without attention) or whether it will require serial attentional sampling.</w:t>
      </w:r>
    </w:p>
    <w:p w:rsidR="00690436"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Serial search was attributed to cases where reaction times increased with distractor number. This suggested that the observer was required to process each target one at a time by moving attention or by making a saccade. Many studies report that the difference in reaction time was greater for target-absent versus target-present, indicating the need to exhaustively sample the full display when the target was absent and, on average, to sample just half the display when the target was present. Parallel search however was found when reaction time did not increase with the number of distractors. This suggested that the underlying process was mediated by many independent detecting mechanisms, all requiring a certain amount of time but acting in parallel. The term preattentive (Neisser, 1967) was used to indicate that all of these processes occurred prior to visual attention. Psychophysical evidence (Wang, Cavanagh, and Green, 1994; He, Nakayama, 1992; Suzuki and Cavanagh, 1995) showed that this process does not occur under a particular condition, introducing, instead of a parallel search, a new word with a different meaning which had a pop-out effect. The pop-out effect is the intrinsic properties of a contest in which a stimulus is easily detected instead of the particular low level feature that involves the same channels. This mechanism now can be addressed, not as an absence of attention involved in the task by the subject, but as the conjunction of other high level networks (e.g. memory, different cortical areas).</w:t>
      </w:r>
    </w:p>
    <w:p w:rsidR="00690436"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.4 Spatial vs. Object based attention</w:t>
      </w:r>
    </w:p>
    <w:p w:rsidR="002F6313" w:rsidRPr="006A37F5" w:rsidRDefault="002F6313" w:rsidP="00CC3A24">
      <w:pPr>
        <w:spacing w:before="100" w:beforeAutospacing="1"/>
        <w:ind w:firstLine="708"/>
        <w:jc w:val="both"/>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Another debate is the one between space-based versus object-based attention under conditions of covert attention. Many theorists have linked covert attention to a spotlight (Posner, 1980). Substantial evidence for spatial enhancement certainly exists, ranging from human behaviour in spatial cueing tasks and human brain activity and single cell activity in behaving primates. Moreover, it arises from Gestalt theories and is reinforced by psychophysical evidence such as contour grouping or feature integration. Briefly, cueing studies have shown that components of covert orienting can be object-based in the following three senses: they may apply to different spatial regions as a function of segmentation by connectedness, proximity, or common three dimensional surfaces in static displays; they may apply to positions that are updated as an entire object moves; or they may apply to part of an object such that the affected location in the image is updated as the view of the object changes.</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A37F5" w:rsidRPr="00FD4D5D" w:rsidRDefault="006A37F5" w:rsidP="000262BE">
      <w:pPr>
        <w:spacing w:before="100" w:beforeAutospacing="1"/>
        <w:outlineLvl w:val="0"/>
        <w:rPr>
          <w:rFonts w:ascii="Times New Roman" w:eastAsia="Times New Roman" w:hAnsi="Times New Roman" w:cs="Times New Roman"/>
          <w:b/>
          <w:sz w:val="24"/>
          <w:szCs w:val="24"/>
          <w:lang w:val="en-GB" w:eastAsia="it-IT"/>
        </w:rPr>
      </w:pPr>
      <w:r w:rsidRPr="00FD4D5D">
        <w:rPr>
          <w:rFonts w:ascii="Times New Roman" w:eastAsia="Times New Roman" w:hAnsi="Times New Roman" w:cs="Times New Roman"/>
          <w:b/>
          <w:color w:val="000000"/>
          <w:sz w:val="24"/>
          <w:szCs w:val="24"/>
          <w:lang w:val="en-GB" w:eastAsia="it-IT"/>
        </w:rPr>
        <w:t>Chapter 1.2 Attention and the Brain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1.2.1 Neuroanatomy of Visual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Neuroanatomical tract tracing studies in nonhuman primates have provided detailed information about the precise brain wiring that underlies such complex functions as perception, attention and memory. Moreover studies of brain damaged patients and lesions on primates and electrophysiological studies have indicated that discrete brain regions contribute uniquely to the completion of attentive processes, and as the pattern of interconnections has become better understood, several investigators have proposed neural network models of attention that are constrained by the anatomical structures involved (Mesulam, 1981,1990; Posner and Petersen, 1990). Two main principles must be taken into account to produce an appropriate model: the first is that multiple cortical areas can be organised within parallel processing systems, and the second is that cortical areas of the same modality can be placed in hierarchical order.</w:t>
      </w:r>
    </w:p>
    <w:p w:rsidR="006A37F5" w:rsidRPr="006A37F5" w:rsidRDefault="006A37F5" w:rsidP="001E6ED2">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At any given time, the visual system can process only a limited amount of information and use that information for action. The filtering of irrelevant visual information is accomplished via selective attention mechanisms. Such mechanisms are thought to involve inputs to visual cortical areas from brain regions both within and outside of the visual system itself. These brain regions might exert attentional control by filtering irrelevant information in either a bottom-up or top-down manner. Anatomical models of attention have incorporated brain structures in which lesions produce varying degrees of neglect syndrome, that is, a deficit in attending to a particular location in space. Such structures include the parietal cortex (Bisiach and Vallar, 1988), the frontal cortex (Heilmann and</w:t>
      </w:r>
      <w:r w:rsidR="001E6ED2">
        <w:rPr>
          <w:rFonts w:ascii="Times New Roman" w:eastAsia="Times New Roman" w:hAnsi="Times New Roman" w:cs="Times New Roman"/>
          <w:sz w:val="24"/>
          <w:szCs w:val="24"/>
          <w:lang w:val="en-US" w:eastAsia="it-IT"/>
        </w:rPr>
        <w:t xml:space="preserve"> </w:t>
      </w:r>
      <w:r w:rsidRPr="006A37F5">
        <w:rPr>
          <w:rFonts w:ascii="Times New Roman" w:eastAsia="Times New Roman" w:hAnsi="Times New Roman" w:cs="Times New Roman"/>
          <w:color w:val="000000"/>
          <w:sz w:val="24"/>
          <w:szCs w:val="24"/>
          <w:lang w:val="en-GB" w:eastAsia="it-IT"/>
        </w:rPr>
        <w:t>Valenstein, 1972), the cingulate gyrus (Whatson, Heilmann, Cauthn, and King, 1973), the basal ganglia (Hier, Davis, Richardson, and Mohr, 1977), the thalamus (Rafal and Posner, 1987; Wathson and Heilmann, 1979), and the midbrain and superior colliculus (Posner, Choen, and Rafal, 1982). In general, these areas are considered to exert attentional effects via their inputs to perceptual processing areas. Two models of attention that attempt to incorporate neuroanatomical connectivity of brain regions thought to be involved in the attentive process are those of Mesulam (1981, 1990) and of Posner and colleagues (Posner, 1990, 1995; Posner and Petersen, 1990; Posner and Rothbart, 1991; Posner and Driver, 1992). Both models include networks of similar brain structures, but the details of the two models differs. Whereas Mesulam’s model provides greater anatomical specificity within the network, Posner’s model gives greater weight to the cognitive function performed by the different components of the network. Both models, however, are based on the standard view of attention, in which attention functions as a mental spotlight enhancing the processing of the illuminated item. Based on data from brain-damaged patients and from neuroanatomical studies of non human primates, Mesulam proposed a network model of Attention in which several distinct cortical regions interact. These regions include the posteriol parietal cortex, the cingulate cortex, and the frontal cortex, all of which are influenced by the reticular activating system. According to this model, a separate spatial coordinate system is represented within each of those brain regions. The parietal component provides an internal perceptual map of the external world; the cingulate component regulates the spatial distribution of motivational valence; the frontal component coordinates the motor programs for exploration, scanning, reaching, and fixating; and the reticular component (including noradrenergic, dopaminergic and cholinergic ascending systems) provides the</w:t>
      </w:r>
      <w:r w:rsidR="00CC3A24">
        <w:rPr>
          <w:rFonts w:ascii="Times New Roman" w:eastAsia="Times New Roman" w:hAnsi="Times New Roman" w:cs="Times New Roman"/>
          <w:color w:val="000000"/>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underlying level of arousal (Marrocco, Witte, and Davidson, 1994; Robbins and Everett, 1995). Not only are the cortical components within this network modelled heavily and reciprocally interconnected (Pandya and Kuypers, 1969; Jones and Powell, 1970; Mesulam, Van Hoesen, Pandya, and Geshwind, 1977; Baleydier and Mauguiere, 1990; Pandya, Van Hoesen and Mesulam, 1981; Schwartz and Goldman-Rakic, 1982; Petrides and Pandya, 1984; Barbas and Mesulam, 1985; Huerta, Krubitzer, and Kaas, 1987; Vogt and Pandya, 1987; Cavada and Goldman-Rakic, 1989; Huerta and Kaas, 1990; Baizer, Ungerleider, and Desimone, 1991), but they are also connected with subcortical structures that are known to cause neglect syndrome when damaged in patients (Mesulam, 1990). These structures include the superior colliculus, which is connected both to the frontal eye field and to the parietal cortex (Frief, 1984; Colby and Olsen, 1985; Lynch, Graybiel, and Lobech, 1985; Huerta, Krubitzer, and Kaas, 1986) and the pulvinar and striatum, which are connected to all three cortical regions in the network (Yeterian and Van Hoesen, 1978; Selemon and Goldmen-Rakic, 1988; Alexander, DeLong, and Strick, 1986; Saint-Cyr, Ungerleider, and Desimone, 1990). Finally, the cortical areas in this model are reciprocally interconnected not only with each other, but also with the same set of additional cortical areas, including the inferior temporal and orbitofrontal cortex (see Morecraft et al., 1993). This arrangement thus provides an anatomical substrate for parallel processing of information. However only the parietal, cingulate and frontal areas appear to be critical for the organization of directed attention, as neglect is specifically produced by damage to these, and not to other, areas. Moreover, the afferent inputs to these areas of cortex arise from separate populations of neurons rather than from axon collateral of the same neurons (Baleydier and Mauguiere, 1987; Morecraft, Geula, and Mesulam, 1993). Similarly, the outputs from those areas to target structures are virtually non-overlapping (Selemon and Goldman-Rakic, 1988). Thus, the model provides both extensive interconnectivity and the capability for integration as well as parallel circuitry and the capacity for flexibility. The model of attention proposed by Posner and colleagues incorporates the same brain regions as that of Mesulam, but the regions are organised into somewhat different functional networks that perform presumably different cognitive computations. Thus, the model consists of a posterior attention network, an anterior attention network, and a vigilance network. The posterior network involves the parietal cortex, the pulvinar, and the superior colliculus. Those areas cooperate in performing the operations needed to bring attention to, or to orient to, a location in space. Specifically, it is proposed that the parietal cortex disengages attention from the locus of the present target, and the superior colliculus acts to move the spotlight of attention to the intended target (Posner and Petersen, 1990). The anterior attention network involves the anterior cingulate cortex and supplementary motor areas in the frontal cortex, which together appear to be active in a wide variety of situations involving the detection of events and the preparation of appropriate responses. It is the anterior attention network that is proposed to exercise executive control over voluntary behaviour and thought processes. Finally, the vigilance network involves the locus coeruleus noradrenergic input to the cortex (Harley, 1987), which is crucial for maintaining a state of alertness. Posner and Rothbart (1991) have proposed that the functions of orienting associated with the posterior network are dissociated from conscious processing, whereas the output of the anterior network provides the content of awareness. The vigilance network influences both the posterior and anterior networks by increasing the efficiency of orienting by the posterior system and by suppressing ongoing activity in the anterior system. This leads to a subjective state of readiness that is both alert and free conscious content, a state that they refer as the ‘clearing of consciousness’. In both those two models, attention focuses on one region of the visual field at a time. According to this view, attention is subserved by a system of spatially mapped structures that are revealed by the neglect syndrome following brain damage. The system operates to enhance perceptual processing at attended locations and reduces perceptual processing at unattended locations. These two models do not, however, specify the neuronal mechanisms that might mediate such effects. Nor do these models confront a fundamental problem posed by the existence of extremely large neuronal receptive fields at the highest levels of the processing pathways. It is known, for example, that single neurons within the inferior temporal cortex, which is the last station of the ventral pathway, have a receptive field size of about 25 degrees. Although large receptive fields enable a global description of object features that is invariant over changes in retinal location, they also work against the problem that attentional mechanisms are suppose to solve; namely, to limit the amount of information that is processed by the visual system. Desimone and Duncan (1995) have recently proposed a model of attention based on neural competition that deals with this central problem. According to this model, at several points between input and response, objects in the visual field compete for limited processing capacity and control of behaviour. This competition can be biased by both bottom-up mechanisms that separate figures from their backgrounds as well as by top-down mechanisms that bias competition in favour of objects relevant to current behaviour. Such bias can be controlled not only by selection of spatial location but also by selection of object features. The presumed mechanism for these selective attention effects is thought to operate at the level of an individual neuron’s receptive field. Thus, neurons respond to an attended stimulus as if their receptive fields had contracted around it. This would then allow neurons to communicate information with high spatial resolution despite their large receptive fields. Desimone and Duncan have also argued that, because many spatially mapped structures contribute to competition, the fact that damage to those structures produces neglect syndromes does not mean that they have a specific role in attentional control. For their model, attention is not a high-speed spotlight that scans each item in the visual field; rather, attention is an emergent property of slow competitive interactions that work in parallel across the visual field. Because these interactions are presumed to take place at the level of an individual neuron’s receptive field, local anatomical network models may be more relevant to this alternative view than are large-scale network models.</w:t>
      </w: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000000"/>
          <w:sz w:val="24"/>
          <w:szCs w:val="24"/>
          <w:lang w:val="en-GB" w:eastAsia="it-IT"/>
        </w:rPr>
        <w:t xml:space="preserve">1.2.2 Neurophysiology of Visual Attention. </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With the use of the single-cell physiological method, the flow of information through the circuitry of the nervous system can be directly examined in relation to behaviour, and this method is therefore well suited to the investigation of the neural correlates of attention. In order to examine the neural mechanism, cellular recording must be carried out in conjunction with well-designed and carefully controlled behavioural tasks, so the stages of attentive selection can be localised to populations of cells and the mechanisms of selective limitations can be inferred from observed changes in processing. The challenge is to design experimental paradigms so that the principles of millions of neurons can be deduced from a sampling of several hundred. Briefly, the activity of individual neurons in awake and behaving animals is measured by placing a small electrical probe, called a microelectrode, close enough to a neuron’s cell body to observe the changes in the extracellular electrical field produced when the neuron generates an action potential; the voltages observed are typically of the order of 50-500 microvolts. The extracellular electrode does not measure the neuron’s membrane potential but rather the extracellular field currents associated with intracellular and transmembrane ionic movements, and the field gradients generated by the fast transient discharge of action potentials, called spikes, are sufficiently large and steep to discriminate the spikes generated by a single neuron from those of the nearby neurons. The discrimination is made by comparing the shapes of the temporal profiles of the voltage changes associated with each spike. Usually only the time of occurrence of spikes from a discriminated neuron is recorded.</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Axonally propagated spikes generate a time series that provides a set of intervals between spikes that contains all of the information relayed from one neuron to the next set of neurons in the network during an event. Given the variability of the presence of a random Poisson process for the spikes, information appears to be coded within single neurons only by the average rate of firing and not by the precise composition of the intervals between spikes. The reconstruction of the temporal response profile of a single neuron, which is accomplished by averaging the results of repeated presentations of stimuli, provides a reasonable representation of the temporal profile of the response across a set of neurons.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The most common and accepted analytic method is the peri-event time histogram. Behavioural measures of performance summarize information processing across both space and time domains, and attentive processes affect behavioural outcomes as the consequence of the modulation of networks of neurons. Visually responsive neurons, for example, exhibit tuning sensitivities to various stimulus attributes such as location, orientation, colour, depth, motion, and so forth, and these sensitivities are realizable as the end products of intricately connected but nevertheless specialized collections that extract certain bits of information. Attention mechanism may alter the gain of those sensitivities. The initial neurobehavioural studies of visual cortical association areas were usually cast in terms of the exploration of correlations between the physical parameters of the stimulus and the discharge activity of neurons, and the intensity of neural activity was often related to the attentive interest shown by the observer in regard to the set of stimuli. The observed correlations also supported the proposition that parietal and temporal visual cortical areas represented two distinct sensory hierarchies.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The Parietal visual association areas emphasize the visuospatial relationship between self and surrounding object and represented a stage where sensory processes merged with systems directly associated with the organization and direction of behaviour in the environment (Lynch, Mountcastle, Talbot, and Yin, 1977; Mountcastle, Lynch, Georgopoulos, Sakata and Acuna,1975). Both sensitivity to visual stimuli and effective receptive field size were increased by a factor of three or more for parietal neurons during a focal attention fixation task (Mountcastle, Anderson, and Motter,1981), whereas under essentially the same conditions the receptive fields of inferior temporal cortical neurons were observed to collapse around a visible fixation target (Richmond, Wurtz, and Sato, 1983). Directing attention to a particular location leads to suppression of the responsiveness at that location of parietal visual neurons and increased sensitivity to surrounding regions of visual space (Mountcastle, Motter, Steinmetz, and Duffy, 1984; Steinmetz Connor, Constantidinis, and McLavghlin, 1993). In clear contrast, directing focal attention to a particular object or location results in an increased visual responsiveness in inferior temporal neurons (Richmond and Sato, 1987) that appears to be graded by the level of the attentive requirement (Spitzer and Richmond, 1991). These studies offer a clear demonstration that selective attention is not an unitary event in the nervous system, but instead occurs in different systems and places different limitations on processing in different parts of the visual field simultaneously.</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Most of the time attention is normally focused where one looks, so visual orienting and attention processes most often work together to bring objects into the central foveal region. A number of theories, following Broadbent (1958), have depicted focal attention as a selective filter that passes information within a restricted dimension and actively depresses information outside that dimension; this dimension is called spatial location.</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Current biological models utilize the retinotopic organization of the early visual system and the progressive enlargement of receptive field size within the hierarchy of the visual system as the framework for a selective filter based on spatial location, so focal attention is modelled as operating through a selection of a dynamically determined subset of interconnected areas that are related in terms of retinotopic locations. Correspondingly, neurophysiological investigations have concentrated on correlations with the shift of attention from one location to another and with the differential processing of information within attended versus unattended locations.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Associated with visual orienting, Goldberg and Wurtz (1972) were the first to note an enhanced discharge activity when a visual onset stimulus was the target for a saccade, and this enhancement was shown to be selective for the specific target of the impending saccadic eye movement and not for other potential targets presented at the same time (Wurtz and Mohler, 1976). These observations were relative to the superior culliculus, but similar were found also in the posterior parietal cortex (Yin and Mountcastle, 1977; Bushnell, Goldberg, and Robinson, 1981), in the frontal cortex (Goldberg and Bushnell, 1981) and extrastriate area V4 (Fisher and Boch, 1981), and also an increment in activity in neurons in areas V1, V2, and V4 was observed when a small cue that was placed inside the receptive field and used to guide focal attention to peripheral sites became the relevant cue during the trial (Motter, 1989).</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Several studies reported direct evidence of the influence of the focal attention on sensory processing. For example, in discrimination tasks, responses that were diminished by the presence of competing stimuli in the nonattended conditions were, in the attended condition, returned to the activation levels observed for single isolated stimuli, suggesting that focused attention acts to isolate a target from surrounding competition in V1 and V2 (Motter, 1993; Reynolds, Chelazzi, Luck, and Desimone, 1994).</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Moreover, other studies focused on dimensions other than spatial location. These observations suggest that early stage analytic mechanisms for perceptual features are subject to a top-down control that is more specific than simply a gain control. For example Maunsell et al. (1991) further demonstrated that the particular form of the modulation that occurs is not dependent upon the sensory modality of the cue, either visual or somatosensory. Although no consistent correlation between cue and stimulus response was found across neurons, the response of individual neurons to specific stimuli was clearly altered by the cue information. These studies established a strong case for top-down control early in visual processing, adding significantly to the debate about whether early versus late selection has any clear meaning when a system can be dominated by feedback. A large portion of the recent work in selective attention has employed a visual search paradigm to investigate visual attentive processes. When presenting multiple stimuli within the receptive field of inferior temporal neurons, the target recognition and selection reduces the processing of the other objects in the neuron’s receptive field (Chelazzi, Miller, Duncan, and Desimone, 1993).</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Moreover other studies manipulate particular features of the same object and provide the first clear physiological evidence of spatially parallel attentional processing in V4 of the stimulus features that highlight potential targets for possible further scrutiny by focal attentive processes (Motter, 1994). These results fit a model of feature based attention that can, in parallel, prioritize the stimuli in the scene for the purpose of guiding a focal attention search (Moore and Egeth, 1996).</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It is not only rate enhancement that has been reported in the literature; some studies, using different paradigms, report a modulation that occur even before the stimulus onset, and refer to it as a change in the neurons’ baseline enhancement. In a study of spatial selective attention in areas V1, V2, and V4 in addition to attentional modulations of stimulus evoked responses, it was found that the spontaneous activity of cells in V2 and V4 was increased when the animal attended to a location within the receptive field, resulting in a shift in pre-stimulus baseline firing rates (Luck, Chelazzi, Hillard, and Desimone, 1997).</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Those results reflect a top-down signal that gives a competitive advantage to a stimulus at an attended location. Similar evidence was also found in the lateral intraparietal area (LIP) where visual responses were enhanced when monkeys attended the stimulus without looking at it.</w:t>
      </w:r>
    </w:p>
    <w:p w:rsidR="00396075"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The debate here is whether the enhancement is due to a presaccadic preparation, but this modulation was present even when the monkey was not permitted to make a saccade (Colby, Duhamel, and Goldberg, 1996). Other evidences were founded also in V3A, where the enhancement of the baseline firing rate was observed when the subject was required to pay attention in a particular location before performing a saccade from the fixation point to that particular location. These task related increases in pre-stimulus activity in the memory guided saccade task were not always matched by increases in the sensory response, indicating that visual responses and pre-stimulus activity can be modulated independently. Moreover, even if small, a modulation during a location cue trial was found for moving stimuli also in MT and MST and these differences in spontaneous activity were not significantly correlated with the difference in the driven activity due to the stimulus (Recanzone, and Wurtz, 2000).</w:t>
      </w:r>
    </w:p>
    <w:p w:rsidR="00A31188" w:rsidRDefault="00A31188"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A31188" w:rsidRDefault="00A31188" w:rsidP="00A3118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1.2.</w:t>
      </w:r>
      <w:r w:rsidR="00914A94">
        <w:rPr>
          <w:rFonts w:ascii="Times New Roman" w:eastAsia="Times New Roman" w:hAnsi="Times New Roman" w:cs="Times New Roman"/>
          <w:color w:val="000000"/>
          <w:sz w:val="24"/>
          <w:szCs w:val="24"/>
          <w:lang w:val="en-GB" w:eastAsia="it-IT"/>
        </w:rPr>
        <w:t>3</w:t>
      </w:r>
      <w:r>
        <w:rPr>
          <w:rFonts w:ascii="Times New Roman" w:eastAsia="Times New Roman" w:hAnsi="Times New Roman" w:cs="Times New Roman"/>
          <w:color w:val="000000"/>
          <w:sz w:val="24"/>
          <w:szCs w:val="24"/>
          <w:lang w:val="en-GB" w:eastAsia="it-IT"/>
        </w:rPr>
        <w:t xml:space="preserve"> Electrophysiological studies of Attention</w:t>
      </w:r>
    </w:p>
    <w:p w:rsidR="00D13282" w:rsidRDefault="00D13282" w:rsidP="00A31188">
      <w:pPr>
        <w:spacing w:before="100" w:beforeAutospacing="1"/>
        <w:jc w:val="both"/>
        <w:rPr>
          <w:rFonts w:ascii="Times New Roman" w:eastAsia="Times New Roman" w:hAnsi="Times New Roman" w:cs="Times New Roman"/>
          <w:color w:val="000000"/>
          <w:sz w:val="24"/>
          <w:szCs w:val="24"/>
          <w:lang w:val="en-GB" w:eastAsia="it-IT"/>
        </w:rPr>
      </w:pPr>
    </w:p>
    <w:p w:rsidR="006A37F5" w:rsidRPr="00150DAD" w:rsidRDefault="00A31188" w:rsidP="00A3118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 xml:space="preserve">In humans several EEG and ERPs studies </w:t>
      </w:r>
      <w:r w:rsidR="00003364">
        <w:rPr>
          <w:rFonts w:ascii="Times New Roman" w:eastAsia="Times New Roman" w:hAnsi="Times New Roman" w:cs="Times New Roman"/>
          <w:color w:val="000000"/>
          <w:sz w:val="24"/>
          <w:szCs w:val="24"/>
          <w:lang w:val="en-GB" w:eastAsia="it-IT"/>
        </w:rPr>
        <w:t xml:space="preserve">have been investigating attention. Briefly </w:t>
      </w:r>
      <w:r w:rsidR="00C77AF6" w:rsidRPr="00150DAD">
        <w:rPr>
          <w:rFonts w:ascii="Times New Roman" w:hAnsi="Times New Roman" w:cs="Times"/>
          <w:color w:val="000000"/>
          <w:sz w:val="24"/>
          <w:szCs w:val="18"/>
          <w:lang w:val="en-US"/>
        </w:rPr>
        <w:t>The predominant result is tha</w:t>
      </w:r>
      <w:r w:rsidR="00150DAD">
        <w:rPr>
          <w:rFonts w:ascii="Times New Roman" w:hAnsi="Times New Roman" w:cs="Times"/>
          <w:color w:val="000000"/>
          <w:sz w:val="24"/>
          <w:szCs w:val="18"/>
          <w:lang w:val="en-US"/>
        </w:rPr>
        <w:t>t substantial effects of atten</w:t>
      </w:r>
      <w:r w:rsidR="00C77AF6" w:rsidRPr="00150DAD">
        <w:rPr>
          <w:rFonts w:ascii="Times New Roman" w:hAnsi="Times New Roman" w:cs="Times"/>
          <w:color w:val="000000"/>
          <w:sz w:val="24"/>
          <w:szCs w:val="18"/>
          <w:lang w:val="en-US"/>
        </w:rPr>
        <w:t xml:space="preserve">tion can be found throughout </w:t>
      </w:r>
      <w:r w:rsidR="00150DAD">
        <w:rPr>
          <w:rFonts w:ascii="Times New Roman" w:hAnsi="Times New Roman" w:cs="Times"/>
          <w:color w:val="000000"/>
          <w:sz w:val="24"/>
          <w:szCs w:val="12"/>
          <w:lang w:val="en-US"/>
        </w:rPr>
        <w:t>extrastriate cortex</w:t>
      </w:r>
      <w:r w:rsidR="00C77AF6" w:rsidRPr="00150DAD">
        <w:rPr>
          <w:rFonts w:ascii="Times New Roman" w:hAnsi="Times New Roman" w:cs="Times"/>
          <w:color w:val="000000"/>
          <w:sz w:val="24"/>
          <w:szCs w:val="18"/>
          <w:lang w:val="en-US"/>
        </w:rPr>
        <w:t>, but that the processing of attended and unattended items does not differ at the earliest stage of cortical visual pro</w:t>
      </w:r>
      <w:r w:rsidR="00150DAD">
        <w:rPr>
          <w:rFonts w:ascii="Times New Roman" w:hAnsi="Times New Roman" w:cs="Times"/>
          <w:color w:val="000000"/>
          <w:sz w:val="24"/>
          <w:szCs w:val="18"/>
          <w:lang w:val="en-US"/>
        </w:rPr>
        <w:t>cessing (V1)</w:t>
      </w:r>
      <w:r w:rsidR="00C77AF6" w:rsidRPr="00150DAD">
        <w:rPr>
          <w:rFonts w:ascii="Times New Roman" w:hAnsi="Times New Roman" w:cs="Times"/>
          <w:color w:val="000000"/>
          <w:sz w:val="24"/>
          <w:szCs w:val="18"/>
          <w:lang w:val="en-US"/>
        </w:rPr>
        <w:t>. An extensive ERP literature shows large effects of spatial attention on the P1 and N1 co</w:t>
      </w:r>
      <w:r w:rsidR="00150DAD">
        <w:rPr>
          <w:rFonts w:ascii="Times New Roman" w:hAnsi="Times New Roman" w:cs="Times"/>
          <w:color w:val="000000"/>
          <w:sz w:val="24"/>
          <w:szCs w:val="18"/>
          <w:lang w:val="en-US"/>
        </w:rPr>
        <w:t xml:space="preserve">mponents of the visual response , </w:t>
      </w:r>
      <w:r w:rsidR="00C77AF6" w:rsidRPr="00150DAD">
        <w:rPr>
          <w:rFonts w:ascii="Times New Roman" w:hAnsi="Times New Roman" w:cs="Times"/>
          <w:color w:val="000000"/>
          <w:sz w:val="24"/>
          <w:szCs w:val="18"/>
          <w:lang w:val="en-US"/>
        </w:rPr>
        <w:t>thought to originate in extrastriate cortex</w:t>
      </w:r>
      <w:r w:rsidR="00000A6A">
        <w:rPr>
          <w:rFonts w:ascii="Times New Roman" w:hAnsi="Times New Roman" w:cs="Times"/>
          <w:color w:val="000000"/>
          <w:sz w:val="24"/>
          <w:szCs w:val="18"/>
          <w:lang w:val="en-US"/>
        </w:rPr>
        <w:t>. The first studies from Hillyard and colleagues (1973) were made with auditory dichotic tasks and found a modulation of P1 and N1 as well as C1</w:t>
      </w:r>
      <w:r w:rsidR="00D71A77">
        <w:rPr>
          <w:rFonts w:ascii="Times New Roman" w:hAnsi="Times New Roman" w:cs="Times"/>
          <w:color w:val="000000"/>
          <w:sz w:val="24"/>
          <w:szCs w:val="18"/>
          <w:lang w:val="en-US"/>
        </w:rPr>
        <w:t xml:space="preserve"> (between attended and unattended)</w:t>
      </w:r>
      <w:r w:rsidR="00000A6A">
        <w:rPr>
          <w:rFonts w:ascii="Times New Roman" w:hAnsi="Times New Roman" w:cs="Times"/>
          <w:color w:val="000000"/>
          <w:sz w:val="24"/>
          <w:szCs w:val="18"/>
          <w:lang w:val="en-US"/>
        </w:rPr>
        <w:t xml:space="preserve"> which is a very early component that refers to the very early stages of the sensory process. The same </w:t>
      </w:r>
      <w:r w:rsidR="00D71A77">
        <w:rPr>
          <w:rFonts w:ascii="Times New Roman" w:hAnsi="Times New Roman" w:cs="Times"/>
          <w:color w:val="000000"/>
          <w:sz w:val="24"/>
          <w:szCs w:val="18"/>
          <w:lang w:val="en-US"/>
        </w:rPr>
        <w:t xml:space="preserve">C1 difference </w:t>
      </w:r>
      <w:r w:rsidR="00000A6A">
        <w:rPr>
          <w:rFonts w:ascii="Times New Roman" w:hAnsi="Times New Roman" w:cs="Times"/>
          <w:color w:val="000000"/>
          <w:sz w:val="24"/>
          <w:szCs w:val="18"/>
          <w:lang w:val="en-US"/>
        </w:rPr>
        <w:t>is not present in visual tasks (Clark and Hillyard,1996; Gomez G</w:t>
      </w:r>
      <w:r w:rsidR="00D71A77">
        <w:rPr>
          <w:rFonts w:ascii="Times New Roman" w:hAnsi="Times New Roman" w:cs="Times"/>
          <w:color w:val="000000"/>
          <w:sz w:val="24"/>
          <w:szCs w:val="18"/>
          <w:lang w:val="en-US"/>
        </w:rPr>
        <w:t>onzales, Clark, Fan, Luck and Hilly</w:t>
      </w:r>
      <w:r w:rsidR="00000A6A">
        <w:rPr>
          <w:rFonts w:ascii="Times New Roman" w:hAnsi="Times New Roman" w:cs="Times"/>
          <w:color w:val="000000"/>
          <w:sz w:val="24"/>
          <w:szCs w:val="18"/>
          <w:lang w:val="en-US"/>
        </w:rPr>
        <w:t xml:space="preserve">ard, 1994; </w:t>
      </w:r>
      <w:r w:rsidR="00D71A77">
        <w:rPr>
          <w:rFonts w:ascii="Times New Roman" w:hAnsi="Times New Roman" w:cs="Times"/>
          <w:color w:val="000000"/>
          <w:sz w:val="24"/>
          <w:szCs w:val="18"/>
          <w:lang w:val="en-US"/>
        </w:rPr>
        <w:t xml:space="preserve">Mangun et al., 1993). Such results indicate that attention does not influence visual processing until after striate cortex. The difference of results between auditory and visual system might that because a large number of visual areas are concurrently activated during visual processing, thus is more difficult to localize the ERP’s components. Heinze et al (1994) combined PET and ERP in a similar study and found that blood flow was modulated </w:t>
      </w:r>
      <w:r w:rsidR="00AD4E32">
        <w:rPr>
          <w:rFonts w:ascii="Times New Roman" w:hAnsi="Times New Roman" w:cs="Times"/>
          <w:color w:val="000000"/>
          <w:sz w:val="24"/>
          <w:szCs w:val="18"/>
          <w:lang w:val="en-US"/>
        </w:rPr>
        <w:t>by attention in a manner similar to P1 amplitude in a extra striate region.</w:t>
      </w:r>
    </w:p>
    <w:p w:rsidR="00AD4E32" w:rsidRDefault="00AD4E32" w:rsidP="000262BE">
      <w:pPr>
        <w:spacing w:before="100" w:beforeAutospacing="1"/>
        <w:jc w:val="both"/>
        <w:outlineLvl w:val="0"/>
        <w:rPr>
          <w:rFonts w:ascii="Times New Roman" w:eastAsia="Times New Roman" w:hAnsi="Times New Roman" w:cs="Times New Roman"/>
          <w:color w:val="000000"/>
          <w:sz w:val="24"/>
          <w:szCs w:val="24"/>
          <w:lang w:val="en-GB" w:eastAsia="it-IT"/>
        </w:rPr>
      </w:pPr>
    </w:p>
    <w:p w:rsidR="006A37F5" w:rsidRPr="006A37F5" w:rsidRDefault="006A37F5" w:rsidP="000262BE">
      <w:pPr>
        <w:spacing w:before="100" w:beforeAutospacing="1"/>
        <w:jc w:val="both"/>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1.2.</w:t>
      </w:r>
      <w:r w:rsidR="00914A94">
        <w:rPr>
          <w:rFonts w:ascii="Times New Roman" w:eastAsia="Times New Roman" w:hAnsi="Times New Roman" w:cs="Times New Roman"/>
          <w:color w:val="000000"/>
          <w:sz w:val="24"/>
          <w:szCs w:val="24"/>
          <w:lang w:val="en-GB" w:eastAsia="it-IT"/>
        </w:rPr>
        <w:t>4</w:t>
      </w:r>
      <w:r w:rsidRPr="006A37F5">
        <w:rPr>
          <w:rFonts w:ascii="Times New Roman" w:eastAsia="Times New Roman" w:hAnsi="Times New Roman" w:cs="Times New Roman"/>
          <w:color w:val="000000"/>
          <w:sz w:val="24"/>
          <w:szCs w:val="24"/>
          <w:lang w:val="en-GB" w:eastAsia="it-IT"/>
        </w:rPr>
        <w:t xml:space="preserve"> Functional Magnetic Resonance Imaging of Visual Attention</w:t>
      </w:r>
    </w:p>
    <w:p w:rsidR="006A37F5" w:rsidRPr="006A37F5" w:rsidRDefault="006A37F5" w:rsidP="006A37F5">
      <w:pPr>
        <w:spacing w:before="100" w:beforeAutospacing="1"/>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fMRI has the capability to detect changes in neural activity over intervals as brief as a few seconds in brain structures that are only a few millimetres across. Within those constraints, fMRI can be used to investigate a diverse array of neural effects related to attention, and, thereby, can shed light on the mechanisms by which attention can affect perceptual and cognitive processing. Attention related changes in neural activity can be divided into two broad classes, one reflecting the modulatory effects of attention on information processing and the other reflecting the control systems that invoke and regulate those modulatory effects. ‘Modulatory effects’ refers to attention driven changes in information processing, such as the amplification of attended information and the suppression of unattended information. Such effects have been amply demonstrated by single cell recordings (e.g., Moran and Desimone, 1985), by event related potentials (Magun, Hilliard and Luck, 1993) and by PET (Corbetta, Miezin, Shulman, and Petersen, 1991; 1993; Courtney, Ungerleider, Keil and Haxby, 1996). fMRI can add to our understanding of modulatory effects by specifying the stages in information processing systems at which attention can exert influence, by demonstrating the circumstances under which that influence is enabled, and by elucidating the ways in which attention alters information processing. ‘Control systems’, on the other hand, are a more elusive and hypothetical construct than are the modulatory effects they putatively invoke and regulate. Mechanisms must exist that cause the modulatory effects of attention; that translate the intention to attend to the act of attending. It is not clear, however, whether these systems have significant components that are purely supervisory, with no direct role in the processing of attended and unattended information, or whether the information processing systems themselves also embody the mechanisms that control the influence of attention on their own activity. All attention related effects in functional brain-imaging studies are alterations in the amplitude of hemodynamic changes, but the characteristics of an amplitude change and the conditions under which it occurs can imply different mechanisms of attention-driven modulation. The activity in a region that responds to a particular stimulus attribute can be altered depending on the focus of selective attention. Such an activity change implies that attention influences information processing by altering the firing rate of neurons that are sensitive to that attribute. Several studies corroborate this change in activity (Parasuraman et al., collateral sulcus, 1997; Tootel, 1995; Waton, 1993; Zeki, 1991, MT/MST). For example, directing both spatial and feature attention to a sector of moving dots further increases the amplitude of response in hMT+, demonstrating that both spatial and feature attention can modulate activity in this area. Selective attention can also modulate activity in multiple areas that comprise a processing pathway. Directing attention to the identity or the location of faces selectively activated several regions in the ventral and dorsal extrastriate cortex, respectively, demonstrating a dissociation between the ventral object vision pathway and the dorsal spatial vision pathway (Courtney et al, 1996,1997). Activation of cortical areas associated with one sensory modality is also associated with diminished activity in cortical areas associated with other sensory modalities, presumably reflecting suppression of the processing of irrelevant and potentially distracting information from those modalities (Courtney, Ungerleider et al., 1996; Haxby et al., 1994). In addition to changes in the amplitude of activity in regions that are activated to some degree in both attended and unattended conditions, activation may be evident in a particular brain location only when selective attention is directed towards relevant information. In practice, it is difficult to determine if a change in regional activity is an overall increase that raises the fringes of the activation above the statistical threshold for significance, or if the additional area of activation is showing a selectively greater increase in activity. The distinction may be important, as a change in the area of activated cortex may indicate the recruitment of additional columns or additional functional areas to represent attended information. The most convincing demonstration of attention driven recruitment of additional cortex would be a demonstration that the upper confidence limit for activation in the unattended condition falls well below the magnitude of an increase that could be considered meaningful. An increase in the area of activation that is not merely an overall increase could also be indicated by a larger increase in activation, comparing unattended and attended conditions, in the voxels showing activation only in the attended conditions, as compared to the voxels showing significant activation during the unattended condition. Demonstrations of an increase in the area of activation are possible with fMRI but require separate analysis of each individual subject. Group analysis tends to smooth the edges of areas of activation, making it more difficult to distinguish a change in area due to a threshold effect. In an fMRI study, Clark et al. (1996) made a direct comparison between the size of activation in voxels on the edge of an activated area and immediately adjacent voxels outside that area. Voxels contained within the activated area but at its outer edge demonstrated, on average, a 2% increase in BOLD signal. By contrast, the immediately adjacent voxels outside the area had a non significant average increase BOLD signal of less than 0.5%. At a distance of one voxel more distant from the activated area there was no tendency towards activation. Those results indicate that recruitment of adjacent cortical tissue by attention can be demonstrated with fMRI. In addition to changes in the amplitude and spatial extent of activation, attention may alter other aspects of the nature of a regional response that can be detected with fMRI. One such change is alteration in the specificity of responses to an aspect of stimulus or to a component of a task.</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In theory, studies that vary the focus of attention also manipulate activity in systems that direct and maintain that focus. Consequently, areas that show greater activity during a selective attention condition may reflect a modulatory effect on information processing, or a system that oversees that modulation, or both. Such studies, therefore, confound the effect of attention and its cause. Although one may attempt to distinguish regions that are involved in perceptual processing from areas with executive functions, based on a review of the neuroanatomical and neurophysiological literature, direct experimental demonstration of such a distinction is necessary. Such a demonstration would vary the activity of attention control operations while keeping the modulation of information processing, namely the focus or foci of attention and difficulty, constant. The power of the fMRI technique can be exploited to examine this vital issue in attention research. In summary, fMRI can detect a diverse array of neural events that reflect attentional processes. These effects include a variety of types of modulation of information processing, such as augmentation and suppression of processing, recruitment of additional cortical areas, altered specificity of response, and altered functional connectivity between regions.</w:t>
      </w:r>
    </w:p>
    <w:p w:rsidR="006A37F5" w:rsidRPr="006A37F5" w:rsidRDefault="006A37F5" w:rsidP="000262BE">
      <w:pPr>
        <w:spacing w:before="100" w:beforeAutospacing="1"/>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1.2.</w:t>
      </w:r>
      <w:r w:rsidR="00914A94">
        <w:rPr>
          <w:rFonts w:ascii="Times New Roman" w:eastAsia="Times New Roman" w:hAnsi="Times New Roman" w:cs="Times New Roman"/>
          <w:color w:val="000000"/>
          <w:sz w:val="24"/>
          <w:szCs w:val="24"/>
          <w:lang w:val="en-GB" w:eastAsia="it-IT"/>
        </w:rPr>
        <w:t>5</w:t>
      </w:r>
      <w:r w:rsidRPr="006A37F5">
        <w:rPr>
          <w:rFonts w:ascii="Times New Roman" w:eastAsia="Times New Roman" w:hAnsi="Times New Roman" w:cs="Times New Roman"/>
          <w:color w:val="000000"/>
          <w:sz w:val="24"/>
          <w:szCs w:val="24"/>
          <w:lang w:val="en-GB" w:eastAsia="it-IT"/>
        </w:rPr>
        <w:t xml:space="preserve"> Attentional modulation of the visual cortex in the absence of visual stimulation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In the literature we find evidence of top-down biasing signals also in the absence of visual stimulation. Advance information is typically provided in the form of a cue that instructs observers about some relevant aspect of the forthcoming visual scene. In a study of physiology Luck and colleagues (1997) examined the role of attention in the receptive fields of areas V1 V2 and V4 of macaque monkeys with the use of a behavioural paradigm in which attention was directed to one of two stimulus locations When two stimuli were presented simultaneously inside the cell’s receptive field (only in areas V2 and V4) they found that the cell’s response was strongly influenced by which of the two stimuli was attended, and that the size of this attention effect was reduced when the attended and ignored stimuli were presented sequentially rather than simultaneously.</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Another interesting result was that they found spontaneous firing rates in areas V2 and V4 were found to be 30–40% higher when attention was directed inside rather than outside the receptive field, even when no stimulus was present in the receptive field, or the location marker. They concluded that this baseline shift effect can occur in the absence of continuous stimulus presentation and presumably reflects a top-down input to the cells rather than a modulation of sensory processing. Another possible explanation for the baseline shift effect is that it reflects an internal memory or template of the target stimulus, achieved by means of activating the cells that would normally respond to the target when it is actually presented. The authors tested this hypothesis by recording baseline activity in trial blocks in which the target stimulus was an effective sensory stimulus for the cell being recorded, and comparing this with the baseline activity recorded in trial blocks in which the target stimulus features were ineffective in driving the cell. The results showed that the baseline shift was approximately equal in magnitude, whether the target was an effective or ineffective stimulus, and no statistically significant differences were observed between these cases. In addition, significant baseline shift effects were observed equally often when the target was effective and when it was ineffective. Thus, directing attention inside the RF leads to an increase in baseline activity even when the cell does not respond to the target stimulus presented inside the RF. They then concluded that this effect may reflect a top-down signal that is present throughout the entire period of sustained attention and gives a competitive advantage to a stimulus at an attended location. A similar effect is demonstrated in dorsal stream area LIP (Colby et al., 1996). This pre-stimulus anticipatory activity could correspond to the fMRI signal that is recorded in human subjects during anticipatory attention.</w:t>
      </w:r>
      <w:r w:rsidRPr="006A37F5">
        <w:rPr>
          <w:rFonts w:ascii="Times New Roman" w:eastAsia="Times New Roman" w:hAnsi="Times New Roman" w:cs="Times New Roman"/>
          <w:color w:val="141413"/>
          <w:sz w:val="24"/>
          <w:szCs w:val="24"/>
          <w:lang w:val="en-GB" w:eastAsia="it-IT"/>
        </w:rPr>
        <w:t xml:space="preserve"> Kastner and colleagues (1999) asked if top-down biasing signals could be found in the human visual cortex in the absence of visual stimulation, similar to the increases in baseline firing rates demonstrated in the monkey extrastriate cortex, and, if so, from which areas these top-down feedback signals might derive. They used a paradigm in which a subject has to identify a target that is competing with others in a sequential or simultaneous condition, in a particular region of the visual field, while fixating on the centre; they introduced also a condition in which the subject does not have to attend to the peripheral location but has to perform a central task. Their results show increases of activity in the human visual cortex in the absence of visual stimulation caused by covertly directing attention to a particular location and expecting the occurrence of visual stimuli at that location, and appear to be qualitatively similar to the increases in maintained (spontaneous) firing rate with attention, as demonstrated in the single-cell recording studies in the monkey extrastriate cortex by Luck and colleagues (1997). Different from Luck’s study, they found an effect also for V1. However, the baseline increase they obtained in V1 was clearly seen only in the averaged signals across all subjects and in two of five individual subjects. Hence, the effects in V1 may be more variable or sometimes too small to be measured in individual subjects. Analyzing the fronto-parietal network, they show that the likeliest candidates to be the source of the top-down influence in the visual cortex are SPL, FEF, and SEF. All three of these areas were found to have stronger baseline increases than ventral stream areas and the IPS. Furthermore, such increases were not followed by additional activity evoked by the onset of visual stimuli. This sustained activity during the expectation period and the attended presentations thus reflected the attentional demands of the task more than sensory processing. </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 xml:space="preserve">In another study, Hopfinger and colleagues(2000) </w:t>
      </w:r>
      <w:r w:rsidRPr="006A37F5">
        <w:rPr>
          <w:rFonts w:ascii="Times New Roman" w:eastAsia="Times New Roman" w:hAnsi="Times New Roman" w:cs="Times New Roman"/>
          <w:color w:val="000000"/>
          <w:sz w:val="24"/>
          <w:szCs w:val="24"/>
          <w:lang w:val="en-GB" w:eastAsia="it-IT"/>
        </w:rPr>
        <w:t>used event-related fMRI methods to distinguish between neural networks involved in top-down attentional-control processes and those participating in the subsequent spatially selective attentional processing of target stimuli. A network of cortical areas, including superior frontal, inferior parietal and superior temporal brain regions, were implicated in top-down attentional control because they were found to be active only in response to instructive cues. In contrast, other regions of the cortex, including the ventrolateral prefrontal cortex, anterior cingulate and supplementary motor area, were found to be selectively activated by the target stimuli, suggesting that these</w:t>
      </w:r>
      <w:r w:rsidRPr="006A37F5">
        <w:rPr>
          <w:rFonts w:ascii="Times New Roman" w:eastAsia="Times New Roman" w:hAnsi="Times New Roman" w:cs="Times New Roman"/>
          <w:color w:val="141413"/>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areas may be more involved in selective stimulus processing and/or response mechanisms.</w:t>
      </w:r>
      <w:r w:rsidRPr="006A37F5">
        <w:rPr>
          <w:rFonts w:ascii="Times New Roman" w:eastAsia="Times New Roman" w:hAnsi="Times New Roman" w:cs="Times New Roman"/>
          <w:color w:val="141413"/>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 xml:space="preserve">The activation in the inferior parietal lobule (specifically, IPS) in response to the cues, but not targets, suggests that this region of the parietal cortex is involved in attentional-control processes. </w:t>
      </w:r>
      <w:r w:rsidRPr="006A37F5">
        <w:rPr>
          <w:rFonts w:ascii="Times New Roman" w:eastAsia="Times New Roman" w:hAnsi="Times New Roman" w:cs="Times New Roman"/>
          <w:color w:val="141413"/>
          <w:sz w:val="24"/>
          <w:szCs w:val="24"/>
          <w:lang w:val="en-GB" w:eastAsia="it-IT"/>
        </w:rPr>
        <w:t>These top-down signals modulate the visual cortex in different ways. A study by Sylvester and colleagues (2007) shows that preparatory activity is highly correlated across regions representing attended and unattended locations, and these results suggest that the locus of attention is coded in the visual cortex by an asymmetry of anticipatory activity between attended and unattended locations, and that this asymmetry predicts the accuracy of perception. In another study they show that in the visual cortex, anticipation of low-contrast stimuli is associated with increased suppression of activity corresponding to unattended (but not attended) locations, and this suppression predicts whether subjects will accurately perceive low-contrast stimuli.</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In addition to spatial attention, feature-based attention has also been shown to provide a prestimulus activity both in higher cortical networks and early visual areas. For example Shibata and colleagues (2008) have shown that cueing for a particular property of an upcoming stimulus (e.g. direction of motion) enhances the baseline activity mostly in the area where the particular feature is processed (MT) compared to another area which responds mostly for another attribute (e.g. colour, V4). Differently from spatial attention, the effect is not confined to a particular retinotopic location, but spread along the entire area, suggesting that the signal is boosting the activity of all the neurons that respond to that particular feature, instead all the neurons of a particular location, as arises from a study by Cohen and Maunsell (2011) in which physiological recordings from neurons of V4 show that, </w:t>
      </w:r>
      <w:r w:rsidRPr="006A37F5">
        <w:rPr>
          <w:rFonts w:ascii="Times New Roman" w:eastAsia="Times New Roman" w:hAnsi="Times New Roman" w:cs="Times New Roman"/>
          <w:color w:val="000000"/>
          <w:sz w:val="24"/>
          <w:szCs w:val="24"/>
          <w:lang w:val="en-GB" w:eastAsia="it-IT"/>
        </w:rPr>
        <w:t>whereas spatial attention appears to act on local populations, feature attention is coordinated across hemispheres</w:t>
      </w:r>
      <w:r w:rsidRPr="006A37F5">
        <w:rPr>
          <w:rFonts w:ascii="Times New Roman" w:eastAsia="Times New Roman" w:hAnsi="Times New Roman" w:cs="Times New Roman"/>
          <w:sz w:val="24"/>
          <w:szCs w:val="24"/>
          <w:lang w:val="en-GB" w:eastAsia="it-IT"/>
        </w:rPr>
        <w:t xml:space="preserve">. </w:t>
      </w:r>
      <w:r w:rsidRPr="006A37F5">
        <w:rPr>
          <w:rFonts w:ascii="Times New Roman" w:eastAsia="Times New Roman" w:hAnsi="Times New Roman" w:cs="Times New Roman"/>
          <w:color w:val="141413"/>
          <w:sz w:val="24"/>
          <w:szCs w:val="24"/>
          <w:lang w:val="en-GB" w:eastAsia="it-IT"/>
        </w:rPr>
        <w:t>Although some studies show a direct link between this pre-stimulus activity and the performance of the subject, others fail to find a direct connection between the baseline shift and the stimulus evoked enhanced response. For example in physiology on a trial by trial basis, Luck and colleagues</w:t>
      </w:r>
      <w:r w:rsidRPr="006A37F5">
        <w:rPr>
          <w:rFonts w:ascii="Times New Roman" w:eastAsia="Times New Roman" w:hAnsi="Times New Roman" w:cs="Times New Roman"/>
          <w:sz w:val="24"/>
          <w:szCs w:val="24"/>
          <w:lang w:val="en-GB" w:eastAsia="it-IT"/>
        </w:rPr>
        <w:t xml:space="preserve"> (1997)</w:t>
      </w:r>
      <w:r w:rsidRPr="006A37F5">
        <w:rPr>
          <w:rFonts w:ascii="Times New Roman" w:eastAsia="Times New Roman" w:hAnsi="Times New Roman" w:cs="Times New Roman"/>
          <w:color w:val="141413"/>
          <w:sz w:val="24"/>
          <w:szCs w:val="24"/>
          <w:lang w:val="en-GB" w:eastAsia="it-IT"/>
        </w:rPr>
        <w:t xml:space="preserve"> found no correlation between those two modulations. Kastner and colleagues (1999) found</w:t>
      </w:r>
      <w:r w:rsidRPr="006A37F5">
        <w:rPr>
          <w:rFonts w:ascii="Times New Roman" w:eastAsia="Times New Roman" w:hAnsi="Times New Roman" w:cs="Times New Roman"/>
          <w:sz w:val="24"/>
          <w:szCs w:val="24"/>
          <w:lang w:val="en-GB" w:eastAsia="it-IT"/>
        </w:rPr>
        <w:t xml:space="preserve"> baseline increases in early visual areas, even though no attentional modulation of visually evoked activity was seen. </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This dissociation and the evidence of separate higher cortical network active during cueing and stimulus response, suggests either that different mechanisms underlie the effects of attention on visually evoked activity and baseline activity or that the attentional effects previously reported with visual stimulation in visual areas actually derive from sustained shifts in baseline activity, rather than from increases in the stimulus-evoked response, per se. Those different results show that </w:t>
      </w:r>
      <w:r w:rsidRPr="006A37F5">
        <w:rPr>
          <w:rFonts w:ascii="Times New Roman" w:eastAsia="Times New Roman" w:hAnsi="Times New Roman" w:cs="Times New Roman"/>
          <w:color w:val="141413"/>
          <w:sz w:val="24"/>
          <w:szCs w:val="24"/>
          <w:lang w:val="en-GB" w:eastAsia="it-IT"/>
        </w:rPr>
        <w:t xml:space="preserve">the relationship between pre-stimulus and evoked signals is unclear. One possibility is that preparatory modulations are the source of an additive boost granted to attended objects in the stimulus-evoked response (Buracas and Boynton, 2007). This would suggest that a single mechanism underlies the attentional modulations in preparatory and stimulus-evoked BOLD signals. A second possibility is that preparatory BOLD modulations reflect a nonspecific increase in the activity of all cells corresponding to the attended location, whereas attentional modulation of stimulus-evoked signals occurs only in cells that prefer the stimulus along other dimensions as well, such as orientation or colour (Kastner et al., 1999; McMains et al., 2007). Finally, a third possibility is that pre-stimulus modulations reflect a process that is completely independent of the nature of the stimulus-evoked signals, </w:t>
      </w:r>
      <w:r w:rsidRPr="006A37F5">
        <w:rPr>
          <w:rFonts w:ascii="Times New Roman" w:eastAsia="Times New Roman" w:hAnsi="Times New Roman" w:cs="Times New Roman"/>
          <w:sz w:val="24"/>
          <w:szCs w:val="24"/>
          <w:lang w:val="en-GB" w:eastAsia="it-IT"/>
        </w:rPr>
        <w:t>as suggested by the lack of correlation between the two (Luck et al., 1997)</w:t>
      </w:r>
      <w:r w:rsidRPr="006A37F5">
        <w:rPr>
          <w:rFonts w:ascii="Times New Roman" w:eastAsia="Times New Roman" w:hAnsi="Times New Roman" w:cs="Times New Roman"/>
          <w:color w:val="141413"/>
          <w:sz w:val="24"/>
          <w:szCs w:val="24"/>
          <w:lang w:val="en-GB" w:eastAsia="it-IT"/>
        </w:rPr>
        <w:t>.</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141413"/>
          <w:sz w:val="24"/>
          <w:szCs w:val="24"/>
          <w:lang w:val="en-GB" w:eastAsia="it-IT"/>
        </w:rPr>
        <w:t>1.2.</w:t>
      </w:r>
      <w:r w:rsidR="00914A94">
        <w:rPr>
          <w:rFonts w:ascii="Times New Roman" w:eastAsia="Times New Roman" w:hAnsi="Times New Roman" w:cs="Times New Roman"/>
          <w:color w:val="141413"/>
          <w:sz w:val="24"/>
          <w:szCs w:val="24"/>
          <w:lang w:val="en-GB" w:eastAsia="it-IT"/>
        </w:rPr>
        <w:t>6</w:t>
      </w:r>
      <w:r w:rsidRPr="006A37F5">
        <w:rPr>
          <w:rFonts w:ascii="Times New Roman" w:eastAsia="Times New Roman" w:hAnsi="Times New Roman" w:cs="Times New Roman"/>
          <w:color w:val="141413"/>
          <w:sz w:val="24"/>
          <w:szCs w:val="24"/>
          <w:lang w:val="en-GB" w:eastAsia="it-IT"/>
        </w:rPr>
        <w:t xml:space="preserve"> Attention and eye movements</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AA27C3">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141413"/>
          <w:sz w:val="24"/>
          <w:szCs w:val="24"/>
          <w:lang w:val="en-GB" w:eastAsia="it-IT"/>
        </w:rPr>
        <w:t>Visual attention plays a central role in the control of saccades (Deubel &amp; Schneider, 1996; Findlay,1976; Kowler, Anderson, Dosher, &amp; Blaser, 1995; Kustov &amp; Robinson, 1996). A key finding in research about visual attention is that the orientation of attention can differ from the orientation of gaze position. In this case, the term covert attention is frequently used to indicate this separation, which is typically implemented in experimental conditions of attentional cueing (Posner, 1980).</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Brain-imaging studies have supported a neuroanatomical link between visual spatial attention and eye movements, either by noting that patterns of activations obtained in attention tasks resemble those in oculomotor tasks (e.g., Nobre et al., 1997; Buchel et al., 1998; Corbetta, 1998a), or by comparing attentional tasks of visual spatial orienting in the presence or absence of eye movements (Corbetta et al., 1998b).</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 xml:space="preserve">Nobre and colleagues (1999) </w:t>
      </w:r>
      <w:r w:rsidRPr="006A37F5">
        <w:rPr>
          <w:rFonts w:ascii="Times New Roman" w:eastAsia="Times New Roman" w:hAnsi="Times New Roman" w:cs="Times New Roman"/>
          <w:sz w:val="24"/>
          <w:szCs w:val="24"/>
          <w:lang w:val="en-GB" w:eastAsia="it-IT"/>
        </w:rPr>
        <w:t>compared in the same subjects brain areas activated in tasks of covert visual spatial orienting, which require internal shifts of attention (Posner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1980), and in tasks requiring large and repetitive saccades toward peripheral stimuli, which tax overt oculomotor functions. An extensive system of brain areas was activated in common by both the saccades and the covert attention conditions , including frontoparietal areas that have been consistently observed during visual spatial attention (e.g., Corbetta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1993; Nobre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1997; Gitelman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Kastner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Frontal activations were obtained in lateral and medial premotor and prefrontal areas, including the area of the frontal and supplementary eye fields, in the anterior cingulate cortex, and in the anterior insula.</w:t>
      </w:r>
    </w:p>
    <w:p w:rsidR="006A37F5" w:rsidRPr="006A37F5" w:rsidRDefault="006A37F5" w:rsidP="00531E8A">
      <w:pPr>
        <w:spacing w:before="100" w:beforeAutospacing="1"/>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Posterior parietal areas were activated bilaterally around the intraparietal sulcus and in the inferior parietal lobule. Posterior temporal activations were obtained around the superior temporal sulcus (STS) in the right hemisphere (see Nobre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1997; Gitelman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Kim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Bilateral activation was obtained in the posterior inferior/middle temporal cortex, consistent with the location of visual areas sensitive to motion (Tootell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1995; McCarthy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1995; McKeefry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1997). Ventral extrastriate areas were activated in common in the left hemisphere.</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Their results support an intimate relationship between the systems for covert visual spatial orienting and for controlling saccades.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In another study, Engbert and colleagues (2003) examined the effects of covert shifts of visual attention on microsaccade and found a correlation between the cued location and the orientation of the microsaccades performed by the subject.</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The fact that covert attention precedes and can influence the destination of a saccade, and the fact that the same network of higher cortical areas is influencing both attentional modulations in the visual cortex and saccade movements raises the question as to whether pre-stimulus baseline increases in the early visual cortex could be related to eye movements in some way. The retinotopical specificity of this pre-stimulus activity might be related to eye movements, influencing both the precision and the latency of the next eye movement.</w:t>
      </w:r>
    </w:p>
    <w:p w:rsidR="00531E8A" w:rsidRPr="006A37F5" w:rsidRDefault="00531E8A"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1.2.</w:t>
      </w:r>
      <w:r w:rsidR="00914A94">
        <w:rPr>
          <w:rFonts w:ascii="Times New Roman" w:eastAsia="Times New Roman" w:hAnsi="Times New Roman" w:cs="Times New Roman"/>
          <w:sz w:val="24"/>
          <w:szCs w:val="24"/>
          <w:lang w:val="en-GB" w:eastAsia="it-IT"/>
        </w:rPr>
        <w:t>7</w:t>
      </w:r>
      <w:r w:rsidRPr="006A37F5">
        <w:rPr>
          <w:rFonts w:ascii="Times New Roman" w:eastAsia="Times New Roman" w:hAnsi="Times New Roman" w:cs="Times New Roman"/>
          <w:sz w:val="24"/>
          <w:szCs w:val="24"/>
          <w:lang w:val="en-GB" w:eastAsia="it-IT"/>
        </w:rPr>
        <w:t xml:space="preserve"> Perceptual Learning</w:t>
      </w:r>
    </w:p>
    <w:p w:rsidR="006A37F5" w:rsidRPr="006A37F5" w:rsidRDefault="006A37F5" w:rsidP="00D13282">
      <w:pPr>
        <w:spacing w:before="100" w:beforeAutospacing="1"/>
        <w:jc w:val="both"/>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 xml:space="preserve">Perceptual learning involves relatively long-lasting changes to an organism’s perceptual system that improve its ability to respond to its environment. </w:t>
      </w:r>
      <w:r w:rsidRPr="006A37F5">
        <w:rPr>
          <w:rFonts w:ascii="Times New Roman" w:eastAsia="Times New Roman" w:hAnsi="Times New Roman" w:cs="Times New Roman"/>
          <w:sz w:val="24"/>
          <w:szCs w:val="24"/>
          <w:lang w:val="en-GB" w:eastAsia="it-IT"/>
        </w:rPr>
        <w:t>The improvement tends to persist over weeks and</w:t>
      </w:r>
      <w:r w:rsidR="00CC3A24">
        <w:rPr>
          <w:rFonts w:ascii="Times New Roman" w:eastAsia="Times New Roman" w:hAnsi="Times New Roman" w:cs="Times New Roman"/>
          <w:sz w:val="24"/>
          <w:szCs w:val="24"/>
          <w:lang w:val="en-GB" w:eastAsia="it-IT"/>
        </w:rPr>
        <w:t xml:space="preserve"> </w:t>
      </w:r>
      <w:r w:rsidRPr="006A37F5">
        <w:rPr>
          <w:rFonts w:ascii="Times New Roman" w:eastAsia="Times New Roman" w:hAnsi="Times New Roman" w:cs="Times New Roman"/>
          <w:sz w:val="24"/>
          <w:szCs w:val="24"/>
          <w:lang w:val="en-GB" w:eastAsia="it-IT"/>
        </w:rPr>
        <w:t xml:space="preserve">months, distinguishing it from sensitization, habituation and priming, which all show more transient changes in performance. </w:t>
      </w:r>
      <w:r w:rsidRPr="006A37F5">
        <w:rPr>
          <w:rFonts w:ascii="Times New Roman" w:eastAsia="Times New Roman" w:hAnsi="Times New Roman" w:cs="Times New Roman"/>
          <w:color w:val="000000"/>
          <w:sz w:val="24"/>
          <w:szCs w:val="24"/>
          <w:lang w:val="en-GB" w:eastAsia="it-IT"/>
        </w:rPr>
        <w:t xml:space="preserve">Studies examining perceptual learning in a variety of visual submodalities show common themes, one of which being that the improvement obtained by practising a perceptual discrimination task is often restricted to stimuli similar to the trained stimulus. This specificity suggests that part of the neural substrate of the learning effect must reside in the early stages of the sensory processing pathway. Psychophysical studies have shown that effects of learning occur for many low-level perceptual tasks, including motion discrimination (Ball &amp; Sekuler, 1982), orientation discrimination (Vogels and Orban, 1985; Shiu and Pashler, 1992; Schoups et al., 1995), discrimination of complex gratings (Fiorentini 1980; 1981), vernier acuity (Fahle et al. 1995), line bisection tasks (Crist, 1997), structure from motion (Vidyasagar &amp; Stuart, 1993), stereopsis (Ramachandran &amp; Braddick, 1973; Ramachandran 1976) and visual search (Ahissar and Hochstein 1996). Two key attributes have been found linked to perceptual learning: specificity and generalization. Specificity means that </w:t>
      </w:r>
      <w:r w:rsidRPr="006A37F5">
        <w:rPr>
          <w:rFonts w:ascii="Times New Roman" w:eastAsia="Times New Roman" w:hAnsi="Times New Roman" w:cs="Times New Roman"/>
          <w:sz w:val="24"/>
          <w:szCs w:val="24"/>
          <w:lang w:val="en-GB" w:eastAsia="it-IT"/>
        </w:rPr>
        <w:t xml:space="preserve">what is learned at one location cannot be used when the stimulus is presented at another location. </w:t>
      </w:r>
      <w:r w:rsidRPr="006A37F5">
        <w:rPr>
          <w:rFonts w:ascii="Times New Roman" w:eastAsia="Times New Roman" w:hAnsi="Times New Roman" w:cs="Times New Roman"/>
          <w:color w:val="000000"/>
          <w:sz w:val="24"/>
          <w:szCs w:val="24"/>
          <w:lang w:val="en-GB" w:eastAsia="it-IT"/>
        </w:rPr>
        <w:t xml:space="preserve">The specificity of visual perceptual learning is the trademark finding that has led many researchers to infer that experience-dependent training alters representations in early visual cortex in areas with small receptive fields that are selective for orientation and position (Fahle &amp; Poggio, 2002; Karni &amp; Sagi, 1991; Gilbert, Sigman, &amp; Crist, 2001). One orientation discrimination study (Schoups, Vogels, &amp; Orban, 1995) found specificity to different retinal positions, following some transfer from an initial training at fovea. Other studies (Crist, Kapadia, Westheimer, &amp; Gilbert, 1997; Shiu &amp; Pashler, 1992) found specificity to trained orientations. Some showed partial specificity and partial transfer (Beard, Levi, &amp; Reich, 1995; Fahle &amp; Poggio, 2002); other studies in visual search, motion direction discrimination, and orientation judgements (Ahissar &amp; Hochstein, 1997; Jeter et al., 2009; Liu &amp; Weinshall, 2000) found that specificity was a property of more demanding, high precision tasks (i.e., discrimination between very similar orientations), while transfer occurs more for low precision tasks. Recent studies also suggest that transfer may be greater if the tasks retain common judgement properties (Webb, Roach, &amp; McGraw, 2007), or if a location has been previously trained in another task (Xiao et al., 2008; Zhang, Xiao, Klein, Levi, &amp; Yu, 2010). </w:t>
      </w:r>
      <w:r w:rsidRPr="006A37F5">
        <w:rPr>
          <w:rFonts w:ascii="Times New Roman" w:eastAsia="Times New Roman" w:hAnsi="Times New Roman" w:cs="Times New Roman"/>
          <w:sz w:val="24"/>
          <w:szCs w:val="24"/>
          <w:lang w:val="en-GB" w:eastAsia="it-IT"/>
        </w:rPr>
        <w:t xml:space="preserve">Generalization means transfer of an improvement achieved through training to other similar stimuli, and this is more pronounced for complex tasks than for simpler ones. In all cases, perceptual learning seems to persist for a few weeks without further practice. </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A classical explanation of perceptual learning came from studies of physiology, and involves processes such as plasticity and tuning of neurons in the early stage of visual system, as well as late stage of information processing, depending on the complexity of the stimuli used. </w:t>
      </w:r>
      <w:r w:rsidRPr="006A37F5">
        <w:rPr>
          <w:rFonts w:ascii="Times New Roman" w:eastAsia="Times New Roman" w:hAnsi="Times New Roman" w:cs="Times New Roman"/>
          <w:color w:val="000000"/>
          <w:sz w:val="24"/>
          <w:szCs w:val="24"/>
          <w:lang w:val="en-GB" w:eastAsia="it-IT"/>
        </w:rPr>
        <w:t>Training on an orientation discrimination task surprisingly decreases the number of neurons that represent the trained orientation in the primary visual cortex (V1) of monkeys, without any evident changes in receptive field properties (Ghose et al., 2004). However, neurons in V4 with receptive fields in the trained region of the visual field narrow their orientation tuning and increase responses as a result of training (Yang and Maunsell, 2004). Moreover, neurons in V1 change not only their contextual influences but also their classical receptive field properties, depending on the animal’s actual task, optimizing the information on the relevant stimulus feature under top-down influence (</w:t>
      </w:r>
      <w:r w:rsidRPr="006A37F5">
        <w:rPr>
          <w:rFonts w:ascii="Times New Roman" w:eastAsia="Times New Roman" w:hAnsi="Times New Roman" w:cs="Times New Roman"/>
          <w:sz w:val="24"/>
          <w:szCs w:val="24"/>
          <w:lang w:val="en-GB" w:eastAsia="it-IT"/>
        </w:rPr>
        <w:t>Li et al., 2004</w:t>
      </w:r>
      <w:r w:rsidRPr="006A37F5">
        <w:rPr>
          <w:rFonts w:ascii="Times New Roman" w:eastAsia="Times New Roman" w:hAnsi="Times New Roman" w:cs="Times New Roman"/>
          <w:color w:val="000000"/>
          <w:sz w:val="24"/>
          <w:szCs w:val="24"/>
          <w:lang w:val="en-GB" w:eastAsia="it-IT"/>
        </w:rPr>
        <w:t>). Similarly, neurons in the infero-temporal cortex can show target selective neuronal responses during visual search (DiCarlo and Maunsell, 2003). Neuro imaging studies have also found changes in activation in early visual areas, including the primary visual cortex, during perceptual learning. Some authors report reductions in activity, for example reductions have been seen after training in contrast discrimination (Schiltz et al., 1999) and in discriminating complex gratings (Mukai et al., 2007). However, other studies have reported increases in activity following perceptual learning; increases have been claimed for texture discrimination (Schwartz et al., 2002), contrast detection (Furmanski et al., 2004), curvature discrimination (Maertens &amp; Pollmann, 2005) and letter detection (Lewis et al., 2009). Sigman et al. (2005) reported increases in some brain regions and decreases in others following training in a shape identification task, while Yotsumoto et al. (2008) found that over a protracted time period, activity in V1 first increased with learning and then returned to its original level.</w:t>
      </w:r>
    </w:p>
    <w:p w:rsidR="00531E8A" w:rsidRPr="006A37F5" w:rsidRDefault="00531E8A"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1.2.</w:t>
      </w:r>
      <w:r w:rsidR="00914A94">
        <w:rPr>
          <w:rFonts w:ascii="Times New Roman" w:eastAsia="Times New Roman" w:hAnsi="Times New Roman" w:cs="Times New Roman"/>
          <w:sz w:val="24"/>
          <w:szCs w:val="24"/>
          <w:lang w:val="en-GB" w:eastAsia="it-IT"/>
        </w:rPr>
        <w:t>8</w:t>
      </w:r>
      <w:r w:rsidRPr="006A37F5">
        <w:rPr>
          <w:rFonts w:ascii="Times New Roman" w:eastAsia="Times New Roman" w:hAnsi="Times New Roman" w:cs="Times New Roman"/>
          <w:sz w:val="24"/>
          <w:szCs w:val="24"/>
          <w:lang w:val="en-GB" w:eastAsia="it-IT"/>
        </w:rPr>
        <w:t xml:space="preserve"> Attention and perceptual learning.</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In their study, Ahissar and colleagues (1993) </w:t>
      </w:r>
      <w:r w:rsidRPr="006A37F5">
        <w:rPr>
          <w:rFonts w:ascii="Times New Roman" w:eastAsia="Times New Roman" w:hAnsi="Times New Roman" w:cs="Times New Roman"/>
          <w:color w:val="000000"/>
          <w:sz w:val="24"/>
          <w:szCs w:val="24"/>
          <w:lang w:val="en-GB" w:eastAsia="it-IT"/>
        </w:rPr>
        <w:t>asked whether these practice effects and perceptual learning are determined solely by activity in stimulus driven mechanisms, or whether high level attentional mechanisms, which are linked to the perceptual task, might control the learning process.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 xml:space="preserve">In this study they trained two different groups of subjects with two different tasks, but with the same stimuli attributes. </w:t>
      </w:r>
    </w:p>
    <w:p w:rsidR="006E43E1" w:rsidRDefault="00531E8A" w:rsidP="00531E8A">
      <w:pPr>
        <w:pStyle w:val="NormalWeb"/>
        <w:spacing w:after="0" w:line="360" w:lineRule="auto"/>
        <w:jc w:val="center"/>
        <w:rPr>
          <w:lang w:val="en-GB"/>
        </w:rPr>
      </w:pPr>
      <w:r>
        <w:rPr>
          <w:noProof/>
          <w:lang w:val="en-GB" w:eastAsia="en-GB"/>
        </w:rPr>
        <w:drawing>
          <wp:inline distT="0" distB="0" distL="0" distR="0">
            <wp:extent cx="2342956" cy="28332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42956" cy="2833200"/>
                    </a:xfrm>
                    <a:prstGeom prst="rect">
                      <a:avLst/>
                    </a:prstGeom>
                    <a:noFill/>
                    <a:ln w="9525">
                      <a:noFill/>
                      <a:miter lim="800000"/>
                      <a:headEnd/>
                      <a:tailEnd/>
                    </a:ln>
                  </pic:spPr>
                </pic:pic>
              </a:graphicData>
            </a:graphic>
          </wp:inline>
        </w:drawing>
      </w:r>
    </w:p>
    <w:p w:rsidR="00531E8A" w:rsidRPr="00531E8A" w:rsidRDefault="00531E8A" w:rsidP="00531E8A">
      <w:pPr>
        <w:pStyle w:val="NormalWeb"/>
        <w:spacing w:after="0" w:line="360" w:lineRule="auto"/>
        <w:jc w:val="both"/>
        <w:rPr>
          <w:lang w:val="en-US"/>
        </w:rPr>
      </w:pPr>
      <w:r>
        <w:rPr>
          <w:sz w:val="18"/>
          <w:szCs w:val="18"/>
          <w:lang w:val="en-GB"/>
        </w:rPr>
        <w:t xml:space="preserve">Fig.1 Stimuli and presentation sequence as in Ahissar and colleagues (1993). </w:t>
      </w:r>
      <w:r w:rsidRPr="00531E8A">
        <w:rPr>
          <w:color w:val="000000"/>
          <w:sz w:val="18"/>
          <w:szCs w:val="18"/>
          <w:lang w:val="en-US"/>
        </w:rPr>
        <w:t>(A)Four stimulus types: vertical (left) versus horizontal (right) arrays for the global identification task and arrays that contain an odd element (bottom) versus arrays that do not (top) for the local detection task. (B) Trial temporal sequence. Subjects pressed the ready key in response to the fixation cross. Stimulus was followed by a mask after a variable stimulus-onset asynchrony (SOA). Subjects then pressed a response key.</w:t>
      </w:r>
      <w:r w:rsidR="00CC3A24">
        <w:rPr>
          <w:color w:val="000000"/>
          <w:sz w:val="18"/>
          <w:szCs w:val="18"/>
          <w:lang w:val="en-US"/>
        </w:rPr>
        <w:t xml:space="preserve"> </w:t>
      </w:r>
    </w:p>
    <w:p w:rsidR="00CC3A24" w:rsidRDefault="00CC3A24" w:rsidP="00CC3A24">
      <w:pPr>
        <w:pStyle w:val="NormalWeb"/>
        <w:spacing w:after="0" w:line="360" w:lineRule="auto"/>
        <w:ind w:firstLine="708"/>
        <w:jc w:val="both"/>
        <w:rPr>
          <w:lang w:val="en-GB"/>
        </w:rPr>
      </w:pPr>
    </w:p>
    <w:p w:rsidR="00531E8A" w:rsidRPr="00531E8A" w:rsidRDefault="00531E8A" w:rsidP="00CC3A24">
      <w:pPr>
        <w:pStyle w:val="NormalWeb"/>
        <w:spacing w:after="0" w:line="360" w:lineRule="auto"/>
        <w:ind w:firstLine="708"/>
        <w:jc w:val="both"/>
        <w:rPr>
          <w:lang w:val="en-US"/>
        </w:rPr>
      </w:pPr>
      <w:r>
        <w:rPr>
          <w:lang w:val="en-GB"/>
        </w:rPr>
        <w:t xml:space="preserve">They then swapped tasks and showed that learning was specific for the task learned and did not transfer. </w:t>
      </w:r>
      <w:r>
        <w:rPr>
          <w:color w:val="000000"/>
          <w:lang w:val="en-GB"/>
        </w:rPr>
        <w:t>The most straightforward interpretation of these concurrent stimulus and task specificities is that top-down task-related control affects low-level stimulus-driven mechanisms that undergo learning induced changes. Thus, learning is a low level bottom-up process that is controlled by a descending attention signal. They concluded that, depending on the task being performed, and thus the mechanisms involved, attention is selectively allocated to the network, and area, processing the relevant set of attributes, and learning will be specific to the response properties of this network.</w:t>
      </w:r>
    </w:p>
    <w:p w:rsidR="00531E8A" w:rsidRPr="00531E8A" w:rsidRDefault="00531E8A" w:rsidP="00CC3A24">
      <w:pPr>
        <w:pStyle w:val="NormalWeb"/>
        <w:spacing w:after="0" w:line="360" w:lineRule="auto"/>
        <w:ind w:firstLine="708"/>
        <w:jc w:val="both"/>
        <w:rPr>
          <w:lang w:val="en-US"/>
        </w:rPr>
      </w:pPr>
      <w:r>
        <w:rPr>
          <w:color w:val="000000"/>
          <w:lang w:val="en-GB"/>
        </w:rPr>
        <w:t xml:space="preserve">Under this point of view one of the consequences of learning is to release the dependence of performance from attentional control, leading to an automatization of the task (Schneider and Shiffrin, 1977; Shiffrin and Schneider, 1977). The alteration in attentional involvement with learning is seen in the changing patterns of brain activation associated with learning, where cortical regions involved in the perception of visual motion such as area MT become more active, and the superior colliculus and anterior cingulate, which are involved in mediating attentional control, become less active (Posner et al., 1988; Rees et al., 1997; Vaina et al., 1998). </w:t>
      </w:r>
    </w:p>
    <w:p w:rsidR="00531E8A" w:rsidRPr="00531E8A" w:rsidRDefault="00531E8A" w:rsidP="00CC3A24">
      <w:pPr>
        <w:pStyle w:val="NormalWeb"/>
        <w:spacing w:after="0" w:line="360" w:lineRule="auto"/>
        <w:ind w:firstLine="708"/>
        <w:jc w:val="both"/>
        <w:rPr>
          <w:lang w:val="en-US"/>
        </w:rPr>
      </w:pPr>
      <w:r>
        <w:rPr>
          <w:color w:val="000000"/>
          <w:lang w:val="en-GB"/>
        </w:rPr>
        <w:t>Previous imaging studies of perceptual learning have focused on the effects of learning on the magnitude of responses to the learned stimuli only, and it is difficult to establish whether the change reflects a change in bottom-up processing or a change in top-down influences such as attention. We can now quantify the changes due to perceptual learning to attention by examining prestimulus activity during training. If perceptual learning is influencing pre-stimulus attention-related activity, then we will see changes during learning. In the case that this happens, two types of explanation are possible. First, it is possible that top-down attentional modulation could cause long-lasting changes in response properties as learning progresses. Secondly, it could be that the changes in stimuli response amplitude seen after learning reflect changes in attentional modulation alone, and not changes in bottom-up processing of the stimulus. As seen in different studies (see previous paragraph), for example, if after training there is a reduction in the magnitude of the stimulus evoked response and the same happens to prestimulus activity, we could conclude that these changes are due to an automatization of the task learned.</w:t>
      </w:r>
    </w:p>
    <w:p w:rsidR="00531E8A" w:rsidRDefault="00531E8A" w:rsidP="000262BE">
      <w:pPr>
        <w:pStyle w:val="NormalWeb"/>
        <w:spacing w:after="0" w:line="360" w:lineRule="auto"/>
        <w:outlineLvl w:val="0"/>
        <w:rPr>
          <w:lang w:val="en-GB"/>
        </w:rPr>
      </w:pPr>
      <w:r>
        <w:rPr>
          <w:color w:val="000000"/>
          <w:lang w:val="en-GB"/>
        </w:rPr>
        <w:t>1.2.</w:t>
      </w:r>
      <w:r w:rsidR="00914A94">
        <w:rPr>
          <w:color w:val="000000"/>
          <w:lang w:val="en-GB"/>
        </w:rPr>
        <w:t>9</w:t>
      </w:r>
      <w:r>
        <w:rPr>
          <w:color w:val="000000"/>
          <w:lang w:val="en-GB"/>
        </w:rPr>
        <w:t xml:space="preserve"> Summary</w:t>
      </w:r>
    </w:p>
    <w:p w:rsidR="00531E8A" w:rsidRDefault="00531E8A" w:rsidP="00531E8A">
      <w:pPr>
        <w:pStyle w:val="NormalWeb"/>
        <w:spacing w:after="0" w:line="360" w:lineRule="auto"/>
        <w:rPr>
          <w:lang w:val="en-GB"/>
        </w:rPr>
      </w:pPr>
    </w:p>
    <w:p w:rsidR="00422096" w:rsidRDefault="00531E8A" w:rsidP="00CC3A24">
      <w:pPr>
        <w:pStyle w:val="NormalWeb"/>
        <w:spacing w:after="0" w:line="360" w:lineRule="auto"/>
        <w:ind w:firstLine="708"/>
        <w:jc w:val="both"/>
        <w:rPr>
          <w:color w:val="000000"/>
          <w:lang w:val="en-GB"/>
        </w:rPr>
      </w:pPr>
      <w:r>
        <w:rPr>
          <w:color w:val="000000"/>
          <w:lang w:val="en-GB"/>
        </w:rPr>
        <w:t>Some of the later studies of visual attention are focusing on pure attentional modulation without visual stimulation. Pre-stimulus baseline shift has been clearly found and documented both in physiology and neuro-imaging. Although those studies have pointed out some characteristic functions of this modulation, such as the higher cortical networks that drive the modulations, or the specificity of spatial modulation in the visual cortex, other characteristics are still far from understood. The first question in the present work is what is the relationship between pre-stimulus activity and stimulus evoked response. To investigate whether the same or different mechanisms underly the two processes, we try to modulate attention in several ways, and then check whether pre-stimulus activity and stimulus evoked response behave in the same way, as well as analyze the two processes in different ways, such as trial by trial correlation. Another issue is how feature based and spatial attention modulate pre-stimulus activity and how those two kinds of attention interact. We try to address this question by constructing a task in which we integrate different kinds of cue, and looking at the pattern of response in visual areas during the preparatory period, via canonical GLM analysis and multi voxel pattern analysis. We then move to analyze the relationship between eye movement and prestimulus activity. The same networks subtend attention and eye movement, so we try to investigate whether the prestimulus BOLD response is correlated in some way with saccade latency and precision. Finally attention is known to be important in perceptual learning. We then examine changes in pre-stimulus activity when a particular task is learned. In summary, with these studies we try to address the functioning of attentional modulation in the absence of visual stimulation under different points of view, that refer to a variety of different processes in the visual system.</w:t>
      </w:r>
    </w:p>
    <w:p w:rsidR="00CC3A24" w:rsidRDefault="00CC3A24">
      <w:pPr>
        <w:rPr>
          <w:rFonts w:ascii="Times New Roman" w:eastAsia="Times New Roman" w:hAnsi="Times New Roman" w:cs="Times New Roman"/>
          <w:color w:val="000000"/>
          <w:sz w:val="24"/>
          <w:szCs w:val="24"/>
          <w:lang w:val="en-GB" w:eastAsia="it-IT"/>
        </w:rPr>
      </w:pPr>
      <w:r>
        <w:rPr>
          <w:color w:val="000000"/>
          <w:lang w:val="en-GB"/>
        </w:rPr>
        <w:br w:type="page"/>
      </w:r>
    </w:p>
    <w:p w:rsidR="00422096" w:rsidRPr="00650134" w:rsidRDefault="00422096" w:rsidP="000262BE">
      <w:pPr>
        <w:pStyle w:val="NormalWeb"/>
        <w:spacing w:after="0" w:line="360" w:lineRule="auto"/>
        <w:outlineLvl w:val="0"/>
        <w:rPr>
          <w:b/>
          <w:lang w:val="en-GB"/>
        </w:rPr>
      </w:pPr>
      <w:r w:rsidRPr="00650134">
        <w:rPr>
          <w:rFonts w:ascii="Times-Roman" w:hAnsi="Times-Roman"/>
          <w:b/>
          <w:color w:val="000000"/>
          <w:lang w:val="en-GB"/>
        </w:rPr>
        <w:t>Part 2-FUNCTIONAL MAGNETIC RESONANCE IMAGING</w:t>
      </w:r>
    </w:p>
    <w:p w:rsidR="00422096" w:rsidRPr="00650134" w:rsidRDefault="00422096" w:rsidP="00422096">
      <w:pPr>
        <w:pStyle w:val="NormalWeb"/>
        <w:spacing w:after="0" w:line="360" w:lineRule="auto"/>
        <w:rPr>
          <w:b/>
          <w:lang w:val="en-GB"/>
        </w:rPr>
      </w:pPr>
    </w:p>
    <w:p w:rsidR="00422096" w:rsidRPr="00650134" w:rsidRDefault="00422096" w:rsidP="000262BE">
      <w:pPr>
        <w:pStyle w:val="NormalWeb"/>
        <w:spacing w:after="0" w:line="360" w:lineRule="auto"/>
        <w:outlineLvl w:val="0"/>
        <w:rPr>
          <w:b/>
          <w:lang w:val="en-GB"/>
        </w:rPr>
      </w:pPr>
      <w:r w:rsidRPr="00650134">
        <w:rPr>
          <w:rFonts w:ascii="Times-Roman" w:hAnsi="Times-Roman"/>
          <w:b/>
          <w:color w:val="000000"/>
          <w:lang w:val="en-GB"/>
        </w:rPr>
        <w:t>Chapter 2.1 Introduction</w:t>
      </w:r>
    </w:p>
    <w:p w:rsidR="00422096" w:rsidRDefault="00422096" w:rsidP="00422096">
      <w:pPr>
        <w:pStyle w:val="NormalWeb"/>
        <w:spacing w:after="0" w:line="360" w:lineRule="auto"/>
        <w:rPr>
          <w:lang w:val="en-GB"/>
        </w:rPr>
      </w:pPr>
    </w:p>
    <w:p w:rsidR="00422096" w:rsidRPr="00422096" w:rsidRDefault="00422096" w:rsidP="000262BE">
      <w:pPr>
        <w:pStyle w:val="NormalWeb"/>
        <w:spacing w:after="0" w:line="360" w:lineRule="auto"/>
        <w:outlineLvl w:val="0"/>
        <w:rPr>
          <w:lang w:val="en-US"/>
        </w:rPr>
      </w:pPr>
      <w:r>
        <w:rPr>
          <w:rFonts w:ascii="Times-Roman" w:hAnsi="Times-Roman"/>
          <w:color w:val="000000"/>
          <w:lang w:val="en-GB"/>
        </w:rPr>
        <w:t>2.1.1 Basis</w:t>
      </w:r>
    </w:p>
    <w:p w:rsidR="00422096" w:rsidRDefault="00422096" w:rsidP="00422096">
      <w:pPr>
        <w:pStyle w:val="NormalWeb"/>
        <w:spacing w:after="0" w:line="360" w:lineRule="auto"/>
        <w:rPr>
          <w:lang w:val="en-GB"/>
        </w:rPr>
      </w:pP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Various techniques are involved in the understanding of how various cognitive and behavioural mind activities are supported by different brain functions. The developing of those techniques is always challenging, mostly for human brain where (obviously) direct recording systems such as single unit recording, lesions and microlesions, are not permitted.</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The most commonly used techniques developed during the last century are in constant evolution and are compared in terms of their temporal and spatial resolution. In general there are two main families of methods to compare: electrophysiological, based on direct mapping of transient brain electrical dipoles generated by neuronal depolarization (EEG, ERP) recorded in the scalp that define the underlying cortical neuronal events in real time (10-100 msec.), but provide relatively poor spatial resolution (many mm-cm); and in contrast those that are based on changes in blood flow, oxygen consumption, and glucose utilization (PET, fMRI) and that provide information on increases in blood flow accompanying neuronal activation with relatively high spatial resolution (1-10 mm), but have a temporal resolution limited by the rate of the much slower haemodynamic changes that accompany neuronal depolarization. From the facts that it is completely non-invasive and there are no contrast agents involved, is clearly demonstrated that fMRI, within one imaging modality, combines superb anatomical images and physiology relevant to brain function. </w:t>
      </w:r>
    </w:p>
    <w:p w:rsidR="00CC3A24" w:rsidRDefault="00CC3A24" w:rsidP="00422096">
      <w:pPr>
        <w:pStyle w:val="NormalWeb"/>
        <w:spacing w:after="0" w:line="360" w:lineRule="auto"/>
        <w:rPr>
          <w:rFonts w:ascii="Times-Roman" w:hAnsi="Times-Roman"/>
          <w:color w:val="000000"/>
          <w:lang w:val="en-GB"/>
        </w:rPr>
      </w:pPr>
    </w:p>
    <w:p w:rsidR="00CC3A24" w:rsidRDefault="00CC3A24" w:rsidP="00422096">
      <w:pPr>
        <w:pStyle w:val="NormalWeb"/>
        <w:spacing w:after="0" w:line="360" w:lineRule="auto"/>
        <w:rPr>
          <w:rFonts w:ascii="Times-Roman" w:hAnsi="Times-Roman"/>
          <w:color w:val="000000"/>
          <w:lang w:val="en-GB"/>
        </w:rPr>
      </w:pPr>
    </w:p>
    <w:p w:rsidR="00422096" w:rsidRPr="00422096" w:rsidRDefault="00422096" w:rsidP="000262BE">
      <w:pPr>
        <w:pStyle w:val="NormalWeb"/>
        <w:spacing w:after="0" w:line="360" w:lineRule="auto"/>
        <w:outlineLvl w:val="0"/>
        <w:rPr>
          <w:lang w:val="en-US"/>
        </w:rPr>
      </w:pPr>
      <w:r>
        <w:rPr>
          <w:rFonts w:ascii="Times-Roman" w:hAnsi="Times-Roman"/>
          <w:color w:val="000000"/>
          <w:lang w:val="en-GB"/>
        </w:rPr>
        <w:t>2.1.2 Outline</w:t>
      </w:r>
    </w:p>
    <w:p w:rsidR="00422096" w:rsidRPr="00422096" w:rsidRDefault="00422096" w:rsidP="00422096">
      <w:pPr>
        <w:pStyle w:val="NormalWeb"/>
        <w:spacing w:after="0" w:line="360" w:lineRule="auto"/>
        <w:rPr>
          <w:lang w:val="en-US"/>
        </w:rPr>
      </w:pP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In outline, magnetic resonance arises from the interaction of nuclei which have a magnetic moment with an applied magnetic field. The nuclei of many atoms with a nuclear spin can behave as simple magnetic dipoles and can assume either a high energy state (oriented against the applied field), or a low energy state (aligned with the field).</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Transition between the two energy states accompanies absorption or emission of energy in the radiofrequency range. The frequency of the energy emitted by an excited nucleus is proportional to the magnetic field experienced. The magnetic field at the nucleus is determined primarily by the strong magnetic field that is applied to the sample in the imaging experiment. As the precise relation between the resonance frequency and the applied magnetic field is different for different nuclei, magnetic resonance imaging systems can be tuned to detect specific types of nuclei independently. However, the magnetic field at the nucleus is also modulated by small shielding effects of electrons around the nucleus. These shielding effects cause changes on the order of only ppm in the precise resonance frequencies of nuclei that are observed. These small differences between the resonance frequencies of protons in different molecules are ignored in conventional MRI or fMRI applications but are the basis for MR spectroscopy methods.</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Magnetic field strength is measured in Tesla (T) or Gauss (G) (1T=10^4 G). Imaging the location of resonating nuclei in a sample is made possible with the use of small magnetic field gradients that are superimposed on the larger homogenous static magnetic field of the imaging magnet made by the superconducting magnet (2.5-4.0 G/cm or 25-40 mT/m on 1.5 or greater T). The small gradients are generated by the gradient coil that is used </w:t>
      </w:r>
      <w:r>
        <w:rPr>
          <w:lang w:val="en-GB"/>
        </w:rPr>
        <w:t xml:space="preserve">to spatially encode the positions of protons by varying the magnetic field linearly across the imaging volume. </w:t>
      </w:r>
      <w:r>
        <w:rPr>
          <w:rFonts w:ascii="Times-Roman" w:hAnsi="Times-Roman"/>
          <w:color w:val="000000"/>
          <w:lang w:val="en-GB"/>
        </w:rPr>
        <w:t>The first step to obtaining the relative position of molecules along the smaller gradient field is to measure differences in resonance frequency, as the resonance frequency for a nucleus in a compound is proportional to the applied field strength (the sum of the large static field of the magnet and the smaller field of the gradient coil). The second step in spatial encoding consists in applying a phase encoding gradient. The phase encoding gradient (GPE) intervenes for a limited time period. While it is applied, it modifies the spin resonance frequencies, inducing dephasing, which persists after the gradient is interrupted. This results in all the protons processing in the same frequency but in different phases. Protons in the same row, perpendicular to the gradient direction, will all have the same phase. Once nuclear spins are excited from a low to a high energy state, they can return to the low state by emission of the radiofrequency energy that is detected in MRI. The efficiency with which this spin relaxation occurs is determined by the nature of the interaction of the spins with their surrounding environment, and this has a rate constant, 1/1T, where T1 is the so called “spin lattice relaxation time”. Excited spins regain 66% of their equilibrium magnetization over one T1 period and, if the excitation pulses are applied more rapidly than allows for full relaxation, then the proportion of spins that can be excited is lower and the resonance signal decreases. The T1 for a water molecule will depend on the local environment, which varies between different parts of the brain, so this provides a source of image contrast. These shifting fields allow an exchange of energy between the nuclei which leads to a loss of coherence in the phases of their resonance emissions. This loss of coherence leads to an exponential loss of intensity for the summed resonance signal from all of the nuclei together, described by T2 relaxation time, which is properly the property of the nuclei in a particular environment.</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So the distribution in the relative concentrations of water protons provides contrast between some structures, allowing clear discrimination between for, example, bones and brain. Contrast differences arising from differences in relaxation times are realized by changing the way in which the spins are excited and observed using different “pulse sequences”; there are three principal parameters of pulse sequences that can be varied to generate contrast.</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The first is the “flip angle” (a measure in notional degrees of the extent to which the net magnetization vector of the nuclear spins is tipped away from the equilibrium alignment with the applied magnetic field) which is the energy per pulse of radiofrequency excitation energy. </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The second is TR (repetition time) which is the rate at which the pulses are applied. The shorter the TR, the less time is allowed for T1 relaxation. Finally the TE (time to echo) is the time that passes before the resonance is detected after excitation.</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As molecules move into different local fields, their resonance frequencies change slightly, lowering the coherence of nuclear spins. This leads to more rapid decay of the net signal and this decay is called T2*. In regions of rapidly changing local magnetic fields, the T2* can be substantially shorter than the T2. This provides yet another mechanism for generating contrast that has proven particularly important for functional MRI.</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BOLD fMRI images signal contrast arising from changes in the local “magnetic susceptibility”, an index of the extent to which an applied magnetic field distorted as it interacts with a material. Normal blood can be considered simply as a concentrated solution of haemoglobin (10-15 gm haemoglobin/100 cm3). When bound to oxygen, haemoglobin is diamagnetic, while deoxygenated haemoglobin is paramagnetic. Magnetic flux is reduced in diamagnetic materials, i.e. the applied magnetic field is repelled. Paramagnetic materials in contrast have an increased magnetic flux, i.e. the applied magnetic field is attracted into the material. A change in haemoglobin oxygenation therefore leads to changes in the local distortion of a magnetic field applied to it.</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Thulborn et al. (1997) demonstrated that the T2 relaxation rate of blood varies exponentially with the proportion of deoxygenated haemoglobin in a fashion precise enough to allow determination of blood oxygenation directly from the line width (which is proportional to 1/T2) of the water proton MR resonance signal of blood. The effect was shown to increase with applied magnetic field strength, as predicted for a phenomenon based on differences in magnetic susceptibility between blood cells and the surrounding tissue.</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However, it was Ogawa (1990) who described the first true blood oxygenation level dependent (BOLD) contrast imaging experiment with a report in which gradient echo MR images of a cat brain showed signal loss around blood vessels when the animal was made hypoxic. This effect was reversed with normoxia. Blood deoxygenation increased the magnetic susceptibility of blood vessels relative to the surrounding brain tissue, which generated local field gradients and locally decreased tissue T2* in tissue water around the blood vessels. Ogawa then had the insight to suggest that the effect could be used to image the smaller changes in the relative blood oxygenation that accompany neuronal activation in the brain.</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The time course of the BOLD response in a region of activation is complex, and different parts of the time course may provide distinct information. In the primary visual cortex there is an initial small decrease in signal intensity that evolves over the first second following a stimulus. There is a progressive increase in signal intensity over the next 2-4 seconds and, for a stimulus that does not cause physiological habituation, the signal change is maintained at a relatively constant level for the period of stimulation (Bandettini et al., 1997).</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After the stimulus stops, the BOLD signal decreases over a few seconds to a level below the initial baseline, from which it recovers slowly over a further few seconds. The time from onset to final return may be 12-18 seconds. The initial small decrease is hypothesized to arise from the rapid deoxygenation of capillary blood accompanying the greater oxygen utilization associated with increased synaptic activity.</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Over the 2-5 seconds after stimulation there is an increase in blood flow (50-70%) and as this is proportionally greater than the increase in local oxygen utilization (5-20%), the oxyhaemoglobin/deoxyhaemoglobin ratio increases, causing an increased signal intensity in the gradient echo image. After the stimulus stops, synaptic activity decreases and both blood flow and oxyhaemoglobin/deoxyhaemoglobin ratio decay back towards the baseline.</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BOLD fMRI signal changes in typical tissue voxels with usual sorts of stimuli are no more than 0.5-3 % at 1.5 T. The spatial resolution of the BOLD effect depends first on the intrinsic resolution of the imaging experiment, but, more importantly the haemodynamic response is not spatially very specific to areas of neocortical activation. Signal change from draining veins spatially “blurs” the activation response. As they drain relatively large cortical regions, signal intensity changes in veins may also be displaced from the relevant activation volume. If two adjacent cortical areas drain into common veins, activation of the areas individually should give nearly identical venous signal changes, but however, this common venous activation can be nulled in the different images generated from separate activation for the two adjacent cortical areas.</w:t>
      </w:r>
    </w:p>
    <w:p w:rsidR="00CC3A24" w:rsidRDefault="00422096" w:rsidP="00CC3A24">
      <w:pPr>
        <w:pStyle w:val="NormalWeb"/>
        <w:spacing w:after="0" w:line="360" w:lineRule="auto"/>
        <w:ind w:firstLine="708"/>
        <w:jc w:val="both"/>
        <w:rPr>
          <w:lang w:val="en-US"/>
        </w:rPr>
      </w:pPr>
      <w:r>
        <w:rPr>
          <w:rFonts w:ascii="Times-Roman" w:hAnsi="Times-Roman"/>
          <w:color w:val="000000"/>
          <w:lang w:val="en-GB"/>
        </w:rPr>
        <w:t>An alternative approach to direct high-resolution BOLD mapping is possible at very high fields by defining volumes that show an early dip in signal intensity after the onset of the stimulus, because this is an effect that appears to occur local to the volume of activation.</w:t>
      </w:r>
    </w:p>
    <w:p w:rsidR="00F3618F" w:rsidRDefault="00F3618F" w:rsidP="00422096">
      <w:pPr>
        <w:pStyle w:val="NormalWeb"/>
        <w:spacing w:after="0" w:line="360" w:lineRule="auto"/>
        <w:rPr>
          <w:lang w:val="en-US"/>
        </w:rPr>
      </w:pPr>
    </w:p>
    <w:p w:rsidR="00422096" w:rsidRPr="00422096" w:rsidRDefault="00422096" w:rsidP="000262BE">
      <w:pPr>
        <w:pStyle w:val="NormalWeb"/>
        <w:spacing w:after="0" w:line="360" w:lineRule="auto"/>
        <w:outlineLvl w:val="0"/>
        <w:rPr>
          <w:lang w:val="en-US"/>
        </w:rPr>
      </w:pPr>
      <w:r>
        <w:rPr>
          <w:rFonts w:ascii="Times-Roman" w:hAnsi="Times-Roman"/>
          <w:color w:val="000000"/>
          <w:lang w:val="en-GB"/>
        </w:rPr>
        <w:t>2.1.3 Hardware</w:t>
      </w:r>
    </w:p>
    <w:p w:rsidR="00422096" w:rsidRDefault="00422096" w:rsidP="00422096">
      <w:pPr>
        <w:pStyle w:val="NormalWeb"/>
        <w:spacing w:after="0" w:line="360" w:lineRule="auto"/>
        <w:rPr>
          <w:lang w:val="en-GB"/>
        </w:rPr>
      </w:pP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There are four key components in an MRI system: the magnet, the gradient coil, the radio frequency transmitter and receiver coil, plus the associated electronics and computer hardware for control of the experiment and data acquisition.</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The magnet is a solenoidal magnet capable of achieving high field strength, and it has a bore large enough to accommodate human subjects. It is constructed with superconducting technology in order to achieve sufficient currents.</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The wire must be kept at a low temperature in order to maintain the superconducting state, by immersing the windings in liquid helium. Even with the use of such refrigerators, however, all magnets require periodic replenishment, typically once or twice a year.</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Shielding the magnet is necessary because it has a fringe field that can extend many metres, depending on the field strength and bore size. Shimming is another fundamental process to make the magnetic field more homogeneous. The small field perturbations caused by non homogeneous magnetic fields can cause local image distortion or blurring. The shim coil is usually placed in between the magnet and the gradient coil. The spectrometer consists of a synthesizer which sets the operating frequency, a transmitter with pulse modulator, a receiver with digitizer and array processor, and a pulse sequence controller that schedules all aspect of the acquisition, including generating RF waveforms for the transmit modulator, control bits for the receiver and analogue-to- digital converter, and waveforms for the gradient axes. The RF system also includes a transmit/receive (T/R) switch that connects the RF coil alternately to the transmitter during excitation and the receiver preamp during the reception phase. All of this is very important to limit the amount of additional noise in the image.</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There is no simple answer to the question of what the optimal field strength is. Signal to noise in MRI increases with the strength of the applied static magnetic field, however, radiofrequency coil design becomes more difficult at higher fields and large scale magnetic susceptibility artefacts arise, particularly near the air filled sinuses, and in addition energy deposition in tissue by the radiofrequency pulse increases at higher frequencies to the extent that some pulse sequences commonly used at lower fields may lead to undesirable levels of tissue heating at very high fields. Thus the optimal </w:t>
      </w:r>
    </w:p>
    <w:p w:rsidR="00422096" w:rsidRDefault="00422096" w:rsidP="00422096">
      <w:pPr>
        <w:pStyle w:val="NormalWeb"/>
        <w:spacing w:after="0" w:line="360" w:lineRule="auto"/>
        <w:jc w:val="both"/>
        <w:rPr>
          <w:lang w:val="en-GB"/>
        </w:rPr>
      </w:pPr>
      <w:r>
        <w:rPr>
          <w:rFonts w:ascii="Times-Roman" w:hAnsi="Times-Roman"/>
          <w:color w:val="000000"/>
          <w:lang w:val="en-GB"/>
        </w:rPr>
        <w:t>field strength for any institution is determined by several factors, including the imaging goals and the extent of the local expertise for support of imaging.</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The gradient coil is used to provide the smaller, rapidly changing magnetic field necessary for spatial encoding of spins in the volume being imaged. There are two major characteristics of gradient coils that compete for optimization. The first is the need to achieve high magnetic field gradients: higher magnetic field gradients allow higher resolution spatial encoding and are also essential for particular forms of MRI such as diffusion imaging. The second requirement is for fast gradient switching: ultra fast imaging (e.g. with EPI) requires that gradients can be switched rapidly but as gradients become more powerful, the inductance of their coils rises, reducing the maximum rate at which they can be switched.</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One approach to balancing these competing needs is to use the smallest possible “head only” gradient coil design, because by reducing the size of the region that can be imaged as much as possible, higher gradient strengths can be achieved with relatively lower inductance, to realize higher switching speeds.</w:t>
      </w:r>
    </w:p>
    <w:p w:rsidR="00150B99" w:rsidRDefault="00422096" w:rsidP="00CC3A24">
      <w:pPr>
        <w:pStyle w:val="NormalWeb"/>
        <w:spacing w:after="0" w:line="360" w:lineRule="auto"/>
        <w:ind w:firstLine="708"/>
        <w:jc w:val="both"/>
        <w:rPr>
          <w:lang w:val="en-US"/>
        </w:rPr>
      </w:pPr>
      <w:r>
        <w:rPr>
          <w:rFonts w:ascii="Times-Roman" w:hAnsi="Times-Roman"/>
          <w:color w:val="000000"/>
          <w:lang w:val="en-GB"/>
        </w:rPr>
        <w:t>Regarding the radiofrequency coil, there is a trade off between the flexibility of the coil for examination of the whole brain and the sensitivity of the coil for the examination of a specific region of the brain. There are two general types of coil: the so-called “volume” coils are placed completely around the head and can be used to image any part of the brain; but higher signal to noise for a specific region can be achieved with a “surface” coil. These coils provide good images from the tissue immediately beneath the coil, but suffer from considerable image intensity distortions and are not sensitive to regions further from the coil.</w:t>
      </w:r>
    </w:p>
    <w:p w:rsidR="00150B99" w:rsidRDefault="00150B99">
      <w:pPr>
        <w:rPr>
          <w:rFonts w:ascii="Times New Roman" w:eastAsia="Times New Roman" w:hAnsi="Times New Roman" w:cs="Times New Roman"/>
          <w:sz w:val="24"/>
          <w:szCs w:val="24"/>
          <w:lang w:val="en-US" w:eastAsia="it-IT"/>
        </w:rPr>
      </w:pPr>
      <w:r>
        <w:rPr>
          <w:lang w:val="en-US"/>
        </w:rPr>
        <w:br w:type="page"/>
      </w:r>
    </w:p>
    <w:p w:rsidR="00422096" w:rsidRPr="00650134" w:rsidRDefault="00422096" w:rsidP="000262BE">
      <w:pPr>
        <w:pStyle w:val="NormalWeb"/>
        <w:spacing w:after="0" w:line="360" w:lineRule="auto"/>
        <w:outlineLvl w:val="0"/>
        <w:rPr>
          <w:b/>
          <w:lang w:val="en-US"/>
        </w:rPr>
      </w:pPr>
      <w:r w:rsidRPr="00650134">
        <w:rPr>
          <w:rFonts w:ascii="Times-Roman" w:hAnsi="Times-Roman"/>
          <w:b/>
          <w:color w:val="000000"/>
          <w:lang w:val="en-GB"/>
        </w:rPr>
        <w:t>Chapter 2.2 Analysis</w:t>
      </w:r>
    </w:p>
    <w:p w:rsidR="00422096" w:rsidRDefault="00422096" w:rsidP="00422096">
      <w:pPr>
        <w:pStyle w:val="NormalWeb"/>
        <w:spacing w:after="0" w:line="360" w:lineRule="auto"/>
        <w:rPr>
          <w:lang w:val="en-GB"/>
        </w:rPr>
      </w:pPr>
    </w:p>
    <w:p w:rsidR="00422096" w:rsidRPr="00422096" w:rsidRDefault="00422096" w:rsidP="000262BE">
      <w:pPr>
        <w:pStyle w:val="NormalWeb"/>
        <w:spacing w:after="0" w:line="360" w:lineRule="auto"/>
        <w:outlineLvl w:val="0"/>
        <w:rPr>
          <w:lang w:val="en-US"/>
        </w:rPr>
      </w:pPr>
      <w:r>
        <w:rPr>
          <w:rFonts w:ascii="Times-Roman" w:hAnsi="Times-Roman"/>
          <w:color w:val="000000"/>
          <w:lang w:val="en-GB"/>
        </w:rPr>
        <w:t>2.2.1 Overview</w:t>
      </w:r>
    </w:p>
    <w:p w:rsidR="00422096" w:rsidRDefault="00422096" w:rsidP="00422096">
      <w:pPr>
        <w:pStyle w:val="NormalWeb"/>
        <w:spacing w:after="0" w:line="360" w:lineRule="auto"/>
        <w:rPr>
          <w:lang w:val="en-GB"/>
        </w:rPr>
      </w:pP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After an fMRI experiment has been designed and carried out, the resulting data must be passed through various analysis steps before the experimenter can obtain answers to questions about experimentally-related activations at the individual or multi-subject level.</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In typical fMRI session a low-resolution functional volume (of the brain) is acquired every few seconds. A single volume is made up of individual cuboid elements called voxels. All the volumes taken from a single session produces a time series for every voxels. The aim of fMRI analysis is to identify in which voxels’ time series the signal of interest is significantly greater than the noise level. The parts of these images which show increased intensity should correspond to the brain areas which are activated by the stimulation.</w:t>
      </w:r>
    </w:p>
    <w:p w:rsidR="00422096" w:rsidRDefault="00422096" w:rsidP="00D13282">
      <w:pPr>
        <w:pStyle w:val="NormalWeb"/>
        <w:spacing w:after="0" w:line="360" w:lineRule="auto"/>
        <w:rPr>
          <w:lang w:val="en-GB"/>
        </w:rPr>
      </w:pPr>
    </w:p>
    <w:p w:rsidR="00F3618F" w:rsidRDefault="00422096" w:rsidP="000262BE">
      <w:pPr>
        <w:pStyle w:val="NormalWeb"/>
        <w:spacing w:after="0" w:line="360" w:lineRule="auto"/>
        <w:outlineLvl w:val="0"/>
        <w:rPr>
          <w:rFonts w:ascii="Times-Roman" w:hAnsi="Times-Roman"/>
          <w:color w:val="000000"/>
          <w:lang w:val="en-GB"/>
        </w:rPr>
      </w:pPr>
      <w:r>
        <w:rPr>
          <w:rFonts w:ascii="Times-Roman" w:hAnsi="Times-Roman"/>
          <w:color w:val="000000"/>
          <w:lang w:val="en-GB"/>
        </w:rPr>
        <w:t>2.2.2 Constructing images</w:t>
      </w:r>
    </w:p>
    <w:p w:rsidR="00D13282" w:rsidRDefault="00D13282" w:rsidP="000262BE">
      <w:pPr>
        <w:pStyle w:val="NormalWeb"/>
        <w:spacing w:after="0" w:line="360" w:lineRule="auto"/>
        <w:outlineLvl w:val="0"/>
        <w:rPr>
          <w:rFonts w:ascii="Times-Roman" w:hAnsi="Times-Roman"/>
          <w:color w:val="000000"/>
          <w:lang w:val="en-GB"/>
        </w:rPr>
      </w:pP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A few steps must be undertaken before getting into the BOLD analysis in order to prepare the images and correct some distortions that could occur during the acquisition of data.</w:t>
      </w:r>
    </w:p>
    <w:p w:rsidR="00531E8A" w:rsidRPr="00531E8A" w:rsidRDefault="00422096" w:rsidP="00422096">
      <w:pPr>
        <w:pStyle w:val="NormalWeb"/>
        <w:spacing w:after="0" w:line="360" w:lineRule="auto"/>
        <w:jc w:val="center"/>
        <w:rPr>
          <w:lang w:val="en-US"/>
        </w:rPr>
      </w:pPr>
      <w:r>
        <w:rPr>
          <w:noProof/>
          <w:color w:val="000000"/>
          <w:lang w:val="en-GB" w:eastAsia="en-GB"/>
        </w:rPr>
        <w:drawing>
          <wp:inline distT="0" distB="0" distL="0" distR="0">
            <wp:extent cx="5400000" cy="2067996"/>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00000" cy="2067996"/>
                    </a:xfrm>
                    <a:prstGeom prst="rect">
                      <a:avLst/>
                    </a:prstGeom>
                    <a:noFill/>
                    <a:ln w="9525">
                      <a:noFill/>
                      <a:miter lim="800000"/>
                      <a:headEnd/>
                      <a:tailEnd/>
                    </a:ln>
                  </pic:spPr>
                </pic:pic>
              </a:graphicData>
            </a:graphic>
          </wp:inline>
        </w:drawing>
      </w:r>
    </w:p>
    <w:p w:rsidR="00422096" w:rsidRDefault="00422096" w:rsidP="00422096">
      <w:pPr>
        <w:pStyle w:val="NormalWeb"/>
        <w:spacing w:after="0" w:line="360" w:lineRule="auto"/>
        <w:rPr>
          <w:color w:val="000000"/>
          <w:sz w:val="18"/>
          <w:szCs w:val="18"/>
          <w:lang w:val="en-US"/>
        </w:rPr>
      </w:pPr>
      <w:r>
        <w:rPr>
          <w:rFonts w:ascii="Times-Roman" w:hAnsi="Times-Roman"/>
          <w:color w:val="000000"/>
          <w:sz w:val="18"/>
          <w:szCs w:val="18"/>
          <w:lang w:val="en-GB"/>
        </w:rPr>
        <w:t>Fig.2 Canonical</w:t>
      </w:r>
      <w:r>
        <w:rPr>
          <w:color w:val="000000"/>
          <w:sz w:val="18"/>
          <w:szCs w:val="18"/>
          <w:lang w:val="en-GB"/>
        </w:rPr>
        <w:t xml:space="preserve"> </w:t>
      </w:r>
      <w:r w:rsidRPr="00422096">
        <w:rPr>
          <w:color w:val="000000"/>
          <w:sz w:val="18"/>
          <w:szCs w:val="18"/>
          <w:lang w:val="en-US"/>
        </w:rPr>
        <w:t>processing/analysis pipeline for functional MRI data.</w:t>
      </w:r>
    </w:p>
    <w:p w:rsidR="00D13282" w:rsidRPr="00422096" w:rsidRDefault="00D13282" w:rsidP="00422096">
      <w:pPr>
        <w:pStyle w:val="NormalWeb"/>
        <w:spacing w:after="0" w:line="360" w:lineRule="auto"/>
        <w:rPr>
          <w:lang w:val="en-US"/>
        </w:rPr>
      </w:pPr>
    </w:p>
    <w:p w:rsidR="00422096" w:rsidRDefault="00422096" w:rsidP="00422096">
      <w:pPr>
        <w:pStyle w:val="NormalWeb"/>
        <w:spacing w:after="0" w:line="360" w:lineRule="auto"/>
        <w:rPr>
          <w:lang w:val="en-GB"/>
        </w:rPr>
      </w:pPr>
      <w:r>
        <w:rPr>
          <w:rFonts w:ascii="Times-Roman" w:hAnsi="Times-Roman"/>
          <w:i/>
          <w:iCs/>
          <w:color w:val="000000"/>
          <w:lang w:val="en-GB"/>
        </w:rPr>
        <w:t>Pre-processing</w:t>
      </w:r>
    </w:p>
    <w:p w:rsidR="00422096" w:rsidRDefault="00422096" w:rsidP="00CC3A24">
      <w:pPr>
        <w:pStyle w:val="NormalWeb"/>
        <w:spacing w:after="0" w:line="360" w:lineRule="auto"/>
        <w:ind w:firstLine="708"/>
        <w:jc w:val="both"/>
        <w:rPr>
          <w:rFonts w:ascii="Times-Roman" w:hAnsi="Times-Roman"/>
          <w:color w:val="000000"/>
          <w:lang w:val="en-GB"/>
        </w:rPr>
      </w:pPr>
      <w:r>
        <w:rPr>
          <w:rFonts w:ascii="Times-Roman" w:hAnsi="Times-Roman"/>
          <w:color w:val="000000"/>
          <w:lang w:val="en-GB"/>
        </w:rPr>
        <w:t>The pre-processing steps take the raw MR data, convert it into images that actually look like brains, then reduce unwanted noise of various types, and precondition the data, in order to aid the later statistics. The raw MR signal is obtained by digitizing the demodulated RF signal that is detected by the receiver coil. The raw data that is thus generated does not resemble a real image, but instead is “k-space” data, that is, a spatial frequency transformation of real space. In order to reconstruct the k-space data into real space so that the image may be viewed and analyzed, an inverse Fourier transform is generally required, and this may be run in 2D or 3D space (normally 2D for fMRI data) depending on the MR sequence used.</w:t>
      </w:r>
    </w:p>
    <w:p w:rsidR="00614961" w:rsidRPr="00422096" w:rsidRDefault="00614961" w:rsidP="00422096">
      <w:pPr>
        <w:pStyle w:val="NormalWeb"/>
        <w:spacing w:after="0" w:line="360" w:lineRule="auto"/>
        <w:jc w:val="both"/>
        <w:rPr>
          <w:lang w:val="en-US"/>
        </w:rPr>
      </w:pPr>
    </w:p>
    <w:p w:rsidR="00D13282" w:rsidRDefault="00422096" w:rsidP="00D13282">
      <w:pPr>
        <w:pStyle w:val="NormalWeb"/>
        <w:spacing w:after="0" w:line="360" w:lineRule="auto"/>
        <w:outlineLvl w:val="0"/>
        <w:rPr>
          <w:rFonts w:ascii="Times-Roman" w:hAnsi="Times-Roman"/>
          <w:i/>
          <w:iCs/>
          <w:color w:val="000000"/>
          <w:lang w:val="en-GB"/>
        </w:rPr>
      </w:pPr>
      <w:r>
        <w:rPr>
          <w:rFonts w:ascii="Times-Roman" w:hAnsi="Times-Roman"/>
          <w:i/>
          <w:iCs/>
          <w:color w:val="000000"/>
          <w:lang w:val="en-GB"/>
        </w:rPr>
        <w:t xml:space="preserve">Slice-timing corrections </w:t>
      </w:r>
    </w:p>
    <w:p w:rsidR="00FE1802" w:rsidRDefault="00422096" w:rsidP="00D13282">
      <w:pPr>
        <w:pStyle w:val="NormalWeb"/>
        <w:spacing w:after="0" w:line="360" w:lineRule="auto"/>
        <w:ind w:firstLine="708"/>
        <w:jc w:val="both"/>
        <w:outlineLvl w:val="0"/>
        <w:rPr>
          <w:lang w:val="en-GB"/>
        </w:rPr>
      </w:pPr>
      <w:r>
        <w:rPr>
          <w:rFonts w:ascii="Times-Roman" w:hAnsi="Times-Roman"/>
          <w:color w:val="000000"/>
          <w:lang w:val="en-GB"/>
        </w:rPr>
        <w:t xml:space="preserve">One issue is that functional volumes are normally formed one slice at time; the capture of these slices is spread out in time over the few seconds that the total volume capture takes. </w:t>
      </w:r>
      <w:r>
        <w:rPr>
          <w:lang w:val="en-GB"/>
        </w:rPr>
        <w:t>One way to cope with slice scanning time differences would be to shift the expected BOLD time course in time to compute proper statistical results. In this predictor-shifting approach, the reference time courses for a slice are shifted in time proportionally to the temporal difference in scan time with respect to the reference (e.g. first) slice. Another possibility is to shift the data of a slice in time to the same time point as when the reference slice was scanned. This changes the data such that it appears that the whole volume was measured at the same moment in time. In the latter case, the same predictors can be used throughout the volume, i.e. slice-specific shifts of the predictors are no longer necessary. For this reason, the latter approach is normally used in fMRI data analysis, allowing use of the same predictors also after transforming the slice-based representation of the functional data (FMR/STC) to a 3D representation of the data (VTC) in an arbitrary (e.g. AC-PC or Talairach) space. It also allows the comparison and integration of event-related responses from different brain regions appropriately with respect to temporal parameters such as onset latency. The predictor-shifting approach would require that each voxel would keep a label indicating the slice from which it originates so that the correct shifted set of predictors could be used. Note that the data-shifting approach requires interpolation (resampling) of the slice time courses. In order to correct for different slice scan timings, the time series of individual slices are temporally “shifted” to match a reference time point, e.g. the first or middle slice of a functional volume. This temporal shift depends on the order in which the individual slices of a volume are scanned. Besides an ascending or descending order, slices are often scanned interleaved, i.e. the odd slice numbers are recorded first followed by the even slice numbers. The resampled data can be treated as if all slices of one functional volume were scanned at the same time point. This is achieved by, for example, linear, cubic spline or windowed sinc interpolation. The linear interpolation method is fast to compute. Software for fMRI data analysis such as BrainVoyager uses cubic interpolation as the default method.</w:t>
      </w:r>
    </w:p>
    <w:p w:rsidR="00422096" w:rsidRPr="00422096" w:rsidRDefault="00422096" w:rsidP="00CC3A24">
      <w:pPr>
        <w:pStyle w:val="NormalWeb"/>
        <w:spacing w:after="0" w:line="360" w:lineRule="auto"/>
        <w:ind w:firstLine="708"/>
        <w:jc w:val="both"/>
        <w:rPr>
          <w:lang w:val="en-US"/>
        </w:rPr>
      </w:pPr>
    </w:p>
    <w:p w:rsidR="00D13282" w:rsidRDefault="00422096" w:rsidP="00D13282">
      <w:pPr>
        <w:pStyle w:val="NormalWeb"/>
        <w:spacing w:after="0" w:line="360" w:lineRule="auto"/>
        <w:rPr>
          <w:rFonts w:ascii="Times-Roman" w:hAnsi="Times-Roman"/>
          <w:i/>
          <w:iCs/>
          <w:color w:val="000000"/>
          <w:lang w:val="en-GB"/>
        </w:rPr>
      </w:pPr>
      <w:r>
        <w:rPr>
          <w:rFonts w:ascii="Times-Roman" w:hAnsi="Times-Roman"/>
          <w:i/>
          <w:iCs/>
          <w:color w:val="000000"/>
          <w:lang w:val="en-GB"/>
        </w:rPr>
        <w:t>Motion corrections</w:t>
      </w:r>
    </w:p>
    <w:p w:rsidR="004E6570" w:rsidRPr="002B5838" w:rsidRDefault="00422096" w:rsidP="00D13282">
      <w:pPr>
        <w:pStyle w:val="NormalWeb"/>
        <w:spacing w:after="0" w:line="360" w:lineRule="auto"/>
        <w:ind w:firstLine="708"/>
        <w:jc w:val="both"/>
        <w:rPr>
          <w:szCs w:val="20"/>
          <w:lang w:val="en-US"/>
        </w:rPr>
      </w:pPr>
      <w:r w:rsidRPr="004E6570">
        <w:rPr>
          <w:color w:val="000000"/>
          <w:lang w:val="en-GB"/>
        </w:rPr>
        <w:t xml:space="preserve">Very small movements of the head, even on a scale of less than a millimetre, can be a major source of error in fMRI if not identified and treated correctly. The image is spatially transformed as to match an image at time point t to a template or target image. The reference template is commonly chosen to be the first image volume in the fMRI time series. This transformation is performed either by minimizing the sum of absolute image intensity differences, or the squares of these differences over all voxels between the volume at time t and the reference volume. During this process the image at time t is iteratively rotated and translated relative to the target image by successively smaller amounts as the best match is approached. For acceptable accuracy in an fMRI experiment, this will involve rotation and translation leading to motion on a sub-voxel level. This means estimating the image intensity at different point within voxels (interpolation). Basically all the different approaches use trilinear interpolation methods; however, when the final realigned image is written out, more complex interpolation algorithms are employed such as tri-cubic or sinc interpolation. The reason for this is that trilinear interpolation can lead to unacceptable amounts of image smoothing, which becomes worse as motion approaches half a voxel. Moreover it is argued that the image intensity in a small volume of the brain, for example in a single voxel in an fMRI scan, can under certain circumstances be strongly dependent on its position in the magnetic field, so additional processing steps will be required to remove those residual effects. The correction process begins with estimation of the extent of head motion. </w:t>
      </w:r>
      <w:r w:rsidR="003956CB" w:rsidRPr="004E6570">
        <w:rPr>
          <w:color w:val="000000"/>
          <w:szCs w:val="28"/>
          <w:lang w:val="en-US"/>
        </w:rPr>
        <w:t>Most head motion algorithms describe head movements by 6 parameters, three translation (displacement) parameters and three rotation parameters. These six parameters are appropriate to characterize motion of</w:t>
      </w:r>
      <w:r w:rsidR="003956CB" w:rsidRPr="004E6570">
        <w:rPr>
          <w:color w:val="000000"/>
          <w:lang w:val="en-US"/>
        </w:rPr>
        <w:t> </w:t>
      </w:r>
      <w:r w:rsidR="003956CB" w:rsidRPr="004E6570">
        <w:rPr>
          <w:szCs w:val="28"/>
          <w:lang w:val="en-US"/>
        </w:rPr>
        <w:t>rigid bodies</w:t>
      </w:r>
      <w:r w:rsidR="003956CB" w:rsidRPr="004E6570">
        <w:rPr>
          <w:color w:val="000000"/>
          <w:szCs w:val="28"/>
          <w:lang w:val="en-US"/>
        </w:rPr>
        <w:t>, since any spatial displacement of rigid bodies can be described by translation along the x, y and z-axes and rotation around these axes. These six parameters are estimated iteratively by analyzing how a source volume should be translated and rotated in order to better align with the reference volume. An often used goodness-of-fit measure is the difference of intensity values of corresponding positions in the reference volume and the transformed source volume given the current translation and rotation parameters. The iterative adjustment of the parameters stops if no further improvement can be achieved, i.e. when a minimum has been found.</w:t>
      </w:r>
      <w:r w:rsidR="004E6570">
        <w:rPr>
          <w:color w:val="000000"/>
          <w:szCs w:val="28"/>
          <w:lang w:val="en-US"/>
        </w:rPr>
        <w:t xml:space="preserve"> </w:t>
      </w:r>
      <w:r w:rsidR="004E6570" w:rsidRPr="002B5838">
        <w:rPr>
          <w:color w:val="000000"/>
          <w:szCs w:val="28"/>
          <w:lang w:val="en-US"/>
        </w:rPr>
        <w:t xml:space="preserve">After the final motion parameters have </w:t>
      </w:r>
      <w:r w:rsidR="004E6570" w:rsidRPr="002B5838">
        <w:rPr>
          <w:szCs w:val="28"/>
          <w:lang w:val="en-US"/>
        </w:rPr>
        <w:t>been</w:t>
      </w:r>
      <w:r w:rsidR="004E6570" w:rsidRPr="002B5838">
        <w:rPr>
          <w:lang w:val="en-US"/>
        </w:rPr>
        <w:t> </w:t>
      </w:r>
      <w:r w:rsidR="004E6570" w:rsidRPr="002B5838">
        <w:rPr>
          <w:szCs w:val="28"/>
          <w:lang w:val="en-US"/>
        </w:rPr>
        <w:t>detected,</w:t>
      </w:r>
      <w:r w:rsidR="004E6570" w:rsidRPr="002B5838">
        <w:rPr>
          <w:color w:val="000000"/>
          <w:szCs w:val="28"/>
          <w:lang w:val="en-US"/>
        </w:rPr>
        <w:t xml:space="preserve"> they can be</w:t>
      </w:r>
      <w:r w:rsidR="004E6570" w:rsidRPr="002B5838">
        <w:rPr>
          <w:color w:val="000000"/>
          <w:lang w:val="en-US"/>
        </w:rPr>
        <w:t> </w:t>
      </w:r>
      <w:r w:rsidR="004E6570" w:rsidRPr="002B5838">
        <w:rPr>
          <w:szCs w:val="28"/>
          <w:lang w:val="en-US"/>
        </w:rPr>
        <w:t>applied</w:t>
      </w:r>
      <w:r w:rsidR="004E6570" w:rsidRPr="002B5838">
        <w:rPr>
          <w:lang w:val="en-US"/>
        </w:rPr>
        <w:t> </w:t>
      </w:r>
      <w:r w:rsidR="004E6570" w:rsidRPr="002B5838">
        <w:rPr>
          <w:szCs w:val="28"/>
          <w:lang w:val="en-US"/>
        </w:rPr>
        <w:t>to the</w:t>
      </w:r>
      <w:r w:rsidR="004E6570" w:rsidRPr="002B5838">
        <w:rPr>
          <w:color w:val="000000"/>
          <w:szCs w:val="28"/>
          <w:lang w:val="en-US"/>
        </w:rPr>
        <w:t xml:space="preserve"> source volume to produce a new volume replacing the original volume in the motion corrected data set.</w:t>
      </w:r>
    </w:p>
    <w:p w:rsidR="00422096" w:rsidRDefault="00422096" w:rsidP="00422096">
      <w:pPr>
        <w:pStyle w:val="NormalWeb"/>
        <w:spacing w:after="0" w:line="360" w:lineRule="auto"/>
        <w:rPr>
          <w:rFonts w:ascii="Times-Roman" w:hAnsi="Times-Roman"/>
          <w:i/>
          <w:iCs/>
          <w:color w:val="000000"/>
          <w:lang w:val="en-GB"/>
        </w:rPr>
      </w:pPr>
    </w:p>
    <w:p w:rsidR="00422096" w:rsidRDefault="00422096" w:rsidP="000262BE">
      <w:pPr>
        <w:pStyle w:val="NormalWeb"/>
        <w:spacing w:after="0" w:line="360" w:lineRule="auto"/>
        <w:outlineLvl w:val="0"/>
        <w:rPr>
          <w:lang w:val="en-GB"/>
        </w:rPr>
      </w:pPr>
      <w:r>
        <w:rPr>
          <w:rFonts w:ascii="Times-Roman" w:hAnsi="Times-Roman"/>
          <w:i/>
          <w:iCs/>
          <w:color w:val="000000"/>
          <w:lang w:val="en-GB"/>
        </w:rPr>
        <w:t>Spatial filtering</w:t>
      </w:r>
    </w:p>
    <w:p w:rsidR="00422096" w:rsidRDefault="00422096" w:rsidP="00CC3A24">
      <w:pPr>
        <w:pStyle w:val="NormalWeb"/>
        <w:spacing w:after="0" w:line="360" w:lineRule="auto"/>
        <w:ind w:firstLine="708"/>
        <w:jc w:val="both"/>
        <w:rPr>
          <w:lang w:val="en-GB"/>
        </w:rPr>
      </w:pPr>
      <w:r>
        <w:rPr>
          <w:rFonts w:ascii="Times-Roman" w:hAnsi="Times-Roman"/>
          <w:color w:val="000000"/>
          <w:lang w:val="en-GB"/>
        </w:rPr>
        <w:t>The next stage is the spatial filtering (blurring) of each volume. Blurring can increase signal to noise ratio in the data and moreover certain later statistical steps, in order to be efficient, may require the functional images to be spatially smooth. Typically the change in intensity due to stimulation is between 0.5% and 5% and the noise level is between 0.5% and 1%. The main point of spatial filtering is to reduce the noise level whilst retaining the underlying signal. The noise is reduced because the blurring function is effectively a local averaging, so the noise values in the local neighbourhood will tend to cancel each other out. In order for the underlying signal to not be reduced along with the noise, it is required that the extent of blurring is not larger than the size of the activated region.</w:t>
      </w:r>
    </w:p>
    <w:p w:rsidR="00422096" w:rsidRDefault="00422096" w:rsidP="00422096">
      <w:pPr>
        <w:pStyle w:val="NormalWeb"/>
        <w:spacing w:after="0" w:line="360" w:lineRule="auto"/>
        <w:rPr>
          <w:lang w:val="en-GB"/>
        </w:rPr>
      </w:pPr>
    </w:p>
    <w:p w:rsidR="00422096" w:rsidRDefault="00422096" w:rsidP="000262BE">
      <w:pPr>
        <w:pStyle w:val="NormalWeb"/>
        <w:spacing w:after="0" w:line="360" w:lineRule="auto"/>
        <w:outlineLvl w:val="0"/>
        <w:rPr>
          <w:lang w:val="en-GB"/>
        </w:rPr>
      </w:pPr>
      <w:r>
        <w:rPr>
          <w:rFonts w:ascii="Times-Roman" w:hAnsi="Times-Roman"/>
          <w:i/>
          <w:iCs/>
          <w:color w:val="000000"/>
          <w:lang w:val="en-GB"/>
        </w:rPr>
        <w:t>Temporal Filtering</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Another process is temporal filtering, which works on each voxel’s time series separately. Voxel time courses of fMRI data often show low-frequency drifts, which is thought to be caused by physiological noise as well as by physical (scanner-related) noise. If not taken into account, these signal drifts substantially reduce the power of the statistical data analysis. They also invalidate event-related averaging, which assumes stationary time courses, i.e. time courses with a constant signal level. Because of the clear negative effects for fMRI data analysis, the removal of low-frequency drifts is one of the most important pre-processing steps and should be always performed. Unfortunately, this pre-processing step is also one of the more ‘dangerous’ ones, because condition-related signal changes may also be removed if not properly applied. A good understanding of how high-pass filtering works is, thus, very important. </w:t>
      </w:r>
      <w:r>
        <w:rPr>
          <w:lang w:val="en-GB"/>
        </w:rPr>
        <w:t xml:space="preserve">Since the signal drifts are slowly rising and falling, these drifts are removed by using a </w:t>
      </w:r>
      <w:r>
        <w:rPr>
          <w:i/>
          <w:iCs/>
          <w:lang w:val="en-GB"/>
        </w:rPr>
        <w:t>high-pass</w:t>
      </w:r>
      <w:r>
        <w:rPr>
          <w:lang w:val="en-GB"/>
        </w:rPr>
        <w:t xml:space="preserve"> filter. As the name suggests, such a filter lets high frequencies pass (containing stimulus-related activity), but removes low frequencies, i.e. the signal drifts.</w:t>
      </w:r>
    </w:p>
    <w:p w:rsidR="00422096" w:rsidRDefault="00422096" w:rsidP="00422096">
      <w:pPr>
        <w:pStyle w:val="NormalWeb"/>
        <w:spacing w:after="0" w:line="360" w:lineRule="auto"/>
        <w:rPr>
          <w:lang w:val="en-GB"/>
        </w:rPr>
      </w:pPr>
    </w:p>
    <w:p w:rsidR="00422096" w:rsidRDefault="00422096" w:rsidP="000262BE">
      <w:pPr>
        <w:pStyle w:val="NormalWeb"/>
        <w:spacing w:after="0" w:line="360" w:lineRule="auto"/>
        <w:outlineLvl w:val="0"/>
        <w:rPr>
          <w:lang w:val="en-GB"/>
        </w:rPr>
      </w:pPr>
      <w:r>
        <w:rPr>
          <w:rFonts w:ascii="Times-Roman" w:hAnsi="Times-Roman"/>
          <w:i/>
          <w:iCs/>
          <w:color w:val="000000"/>
          <w:lang w:val="en-GB"/>
        </w:rPr>
        <w:t>Co-registration</w:t>
      </w: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All the functional data has to be then aligned to an “atlas”, which is usually a high definition anatomical image. In our case this is achieved in two different steps. The first is to perform an M-DEFT extra session anatomical scan. This is an high definition image (driven equilibrium Fourier transform), which is performed by using a method of enhancing signal strength without waiting for full T1 recovery (Deichmann et al., 2004). We use this image because of its </w:t>
      </w:r>
      <w:r>
        <w:rPr>
          <w:rFonts w:ascii="Times-Roman" w:hAnsi="Times-Roman"/>
          <w:color w:val="141413"/>
          <w:lang w:val="en-GB"/>
        </w:rPr>
        <w:t xml:space="preserve">high spatial resolution and good tissue contrast that allow better manipulation of the image, such as inflation of the brain and the production of flat maps. </w:t>
      </w:r>
      <w:r>
        <w:rPr>
          <w:rFonts w:ascii="Times-Roman" w:hAnsi="Times-Roman"/>
          <w:color w:val="000000"/>
          <w:lang w:val="en-GB"/>
        </w:rPr>
        <w:t>The second step is to perform a MP-RAGE (magnetization prepared rapid gradient echo) scan before our functional ones. The MP-RAGE is a fast anatomical image acquisition. On this anatomical image all the functional data will be aligned. Then the MP-RAGE is aligned to the M-DEFT, and that will allow analysis of the functional data in a proper atlas. Usually the M-DEFT is oriented in a standard space. This is achieved by orienting the anatomy to an imaginary line which runs horizontally between the anterior and posterior commissures (AC-PC space).</w:t>
      </w:r>
    </w:p>
    <w:p w:rsidR="00422096" w:rsidRDefault="00422096" w:rsidP="00422096">
      <w:pPr>
        <w:pStyle w:val="NormalWeb"/>
        <w:spacing w:after="0" w:line="360" w:lineRule="auto"/>
        <w:rPr>
          <w:lang w:val="en-GB"/>
        </w:rPr>
      </w:pPr>
    </w:p>
    <w:p w:rsidR="00186E91" w:rsidRDefault="00422096" w:rsidP="00186E91">
      <w:pPr>
        <w:pStyle w:val="NormalWeb"/>
        <w:spacing w:after="0" w:line="360" w:lineRule="auto"/>
        <w:jc w:val="both"/>
        <w:outlineLvl w:val="0"/>
        <w:rPr>
          <w:color w:val="000000"/>
          <w:lang w:val="en-GB"/>
        </w:rPr>
      </w:pPr>
      <w:r w:rsidRPr="00186E91">
        <w:rPr>
          <w:color w:val="000000"/>
          <w:lang w:val="en-GB"/>
        </w:rPr>
        <w:t>2.2.3 Retinotopic Mapping</w:t>
      </w:r>
    </w:p>
    <w:p w:rsidR="00422096" w:rsidRPr="00186E91" w:rsidRDefault="00422096" w:rsidP="00186E91">
      <w:pPr>
        <w:pStyle w:val="NormalWeb"/>
        <w:spacing w:after="0" w:line="360" w:lineRule="auto"/>
        <w:jc w:val="both"/>
        <w:outlineLvl w:val="0"/>
        <w:rPr>
          <w:color w:val="000000"/>
          <w:lang w:val="en-GB"/>
        </w:rPr>
      </w:pPr>
    </w:p>
    <w:p w:rsidR="00A15CBD" w:rsidRPr="00186E91" w:rsidRDefault="00422096"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141413"/>
          <w:sz w:val="24"/>
          <w:lang w:val="en-GB"/>
        </w:rPr>
      </w:pPr>
      <w:r w:rsidRPr="00186E91">
        <w:rPr>
          <w:rFonts w:ascii="Times New Roman" w:hAnsi="Times New Roman"/>
          <w:color w:val="000000"/>
          <w:sz w:val="24"/>
          <w:lang w:val="en-GB"/>
        </w:rPr>
        <w:t xml:space="preserve">Retinotopy describes the spatial organization of the neuronal responses to visual stimuli. It is now well established that in the human brain, the right visual hemifield is represented in the left occipital lobe and the left visual hemifield in the right occipital lobe. In each hemisphere, the upper visual hemifield is represented in the lower part of the brain, ventral to the calcarine sulcus, while the lower visual hemifield is represented in the upper part of the brain, dorsal to the calcarine sulcus. Areas of visual cortex are sometimes defined by their retinotopic boundaries, using a criterion that states that each area should contain a complete map of the visual field. In terms of the steps involved in the processing of the stimulus, retinotopy transforms the stimulus (a spatiotemporal pattern of stimulation in the visual field) into a corresponding spatiotemporal pattern of neural activation on the cortical face. Stimuli for retinotopic mapping are designed to encode the position in the visual field by a unique pattern of temporal activation. In our case, this is achieved by means of slowly moving periodic stimuli consisting of clockwise rotating wedges, presented while the subject is fixating their centre or apex (Engel et al., 1994). These stimuli link each position along a visual field coordinate (polar angle) to a unique delay of the periodic stimulation. </w:t>
      </w:r>
      <w:r w:rsidRPr="00186E91">
        <w:rPr>
          <w:rFonts w:ascii="Times New Roman" w:hAnsi="Times New Roman"/>
          <w:color w:val="141413"/>
          <w:sz w:val="24"/>
          <w:lang w:val="en-GB"/>
        </w:rPr>
        <w:t xml:space="preserve">Data are analyzed by fitting a model to the time course obtained with the rotating wedge stimulus. </w:t>
      </w:r>
    </w:p>
    <w:p w:rsidR="00A15CBD" w:rsidRPr="00186E91" w:rsidRDefault="00422096"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i/>
          <w:iCs/>
          <w:color w:val="000000"/>
          <w:sz w:val="24"/>
          <w:szCs w:val="24"/>
          <w:lang w:val="en-US"/>
        </w:rPr>
      </w:pPr>
      <w:r w:rsidRPr="00186E91">
        <w:rPr>
          <w:rFonts w:ascii="Times New Roman" w:hAnsi="Times New Roman"/>
          <w:color w:val="141413"/>
          <w:sz w:val="24"/>
          <w:lang w:val="en-GB"/>
        </w:rPr>
        <w:t>This consists of a rectangular wave of duty cycle 24/360, reflecting the duration of stimulation at any portion of the visual field, convolved with the HRF. The phase of the fitted response is taken as an index of visual field location, in terms of polar angle.</w:t>
      </w:r>
      <w:r w:rsidR="00A15CBD" w:rsidRPr="00186E91">
        <w:rPr>
          <w:rFonts w:ascii="Times New Roman" w:hAnsi="Times New Roman" w:cs="Arial"/>
          <w:color w:val="000000"/>
          <w:sz w:val="24"/>
          <w:szCs w:val="24"/>
          <w:lang w:val="en-US"/>
        </w:rPr>
        <w:t xml:space="preserve"> Phase maps were calculated using a General linear model (Y = </w:t>
      </w:r>
      <w:r w:rsidR="00A15CBD" w:rsidRPr="00186E91">
        <w:rPr>
          <w:rFonts w:ascii="Times New Roman" w:hAnsi="Times New Roman" w:cs="Symbol"/>
          <w:color w:val="000000"/>
          <w:sz w:val="24"/>
          <w:szCs w:val="24"/>
          <w:lang w:val="en-US"/>
        </w:rPr>
        <w:t>β</w:t>
      </w:r>
      <w:r w:rsidR="00A15CBD" w:rsidRPr="00186E91">
        <w:rPr>
          <w:rFonts w:ascii="Times New Roman" w:hAnsi="Times New Roman" w:cs="Arial"/>
          <w:color w:val="000000"/>
          <w:sz w:val="24"/>
          <w:szCs w:val="24"/>
          <w:lang w:val="en-US"/>
        </w:rPr>
        <w:t xml:space="preserve">X + </w:t>
      </w:r>
      <w:r w:rsidR="00A15CBD" w:rsidRPr="00186E91">
        <w:rPr>
          <w:rFonts w:ascii="Times New Roman" w:hAnsi="Times New Roman" w:cs="Symbol"/>
          <w:color w:val="000000"/>
          <w:sz w:val="24"/>
          <w:szCs w:val="24"/>
          <w:lang w:val="en-US"/>
        </w:rPr>
        <w:t>ε</w:t>
      </w:r>
      <w:r w:rsidR="00A15CBD" w:rsidRPr="00186E91">
        <w:rPr>
          <w:rFonts w:ascii="Times New Roman" w:hAnsi="Times New Roman" w:cs="Arial"/>
          <w:color w:val="000000"/>
          <w:sz w:val="24"/>
          <w:szCs w:val="24"/>
          <w:lang w:val="en-US"/>
        </w:rPr>
        <w:t>) (Hutton, 2000). A particular location in space will be represented by the addition of two angles: one representing the frequency of the stimulus (</w:t>
      </w:r>
      <w:r w:rsidR="00A15CBD" w:rsidRPr="00186E91">
        <w:rPr>
          <w:rFonts w:ascii="Times New Roman" w:hAnsi="Times New Roman" w:cs="Arial"/>
          <w:i/>
          <w:iCs/>
          <w:color w:val="000000"/>
          <w:sz w:val="24"/>
          <w:szCs w:val="24"/>
          <w:lang w:val="en-US"/>
        </w:rPr>
        <w:t xml:space="preserve">w) </w:t>
      </w:r>
      <w:r w:rsidR="00A15CBD" w:rsidRPr="00186E91">
        <w:rPr>
          <w:rFonts w:ascii="Times New Roman" w:hAnsi="Times New Roman" w:cs="Arial"/>
          <w:color w:val="000000"/>
          <w:sz w:val="24"/>
          <w:szCs w:val="24"/>
          <w:lang w:val="en-US"/>
        </w:rPr>
        <w:t>multiplied by the time (</w:t>
      </w:r>
      <w:r w:rsidR="00186E91">
        <w:rPr>
          <w:rFonts w:ascii="Times New Roman" w:hAnsi="Times New Roman" w:cs="Arial"/>
          <w:i/>
          <w:iCs/>
          <w:color w:val="000000"/>
          <w:sz w:val="24"/>
          <w:szCs w:val="24"/>
          <w:lang w:val="en-US"/>
        </w:rPr>
        <w:t>t)</w:t>
      </w:r>
      <w:r w:rsidR="00A15CBD" w:rsidRPr="00186E91">
        <w:rPr>
          <w:rFonts w:ascii="Times New Roman" w:hAnsi="Times New Roman" w:cs="Arial"/>
          <w:i/>
          <w:iCs/>
          <w:color w:val="000000"/>
          <w:sz w:val="24"/>
          <w:szCs w:val="24"/>
          <w:lang w:val="en-US"/>
        </w:rPr>
        <w:t>,</w:t>
      </w:r>
      <w:r w:rsidR="00186E91">
        <w:rPr>
          <w:rFonts w:ascii="Times New Roman" w:hAnsi="Times New Roman" w:cs="Arial"/>
          <w:i/>
          <w:iCs/>
          <w:color w:val="000000"/>
          <w:sz w:val="24"/>
          <w:szCs w:val="24"/>
          <w:lang w:val="en-US"/>
        </w:rPr>
        <w:t xml:space="preserve"> </w:t>
      </w:r>
      <w:r w:rsidR="00A15CBD" w:rsidRPr="00186E91">
        <w:rPr>
          <w:rFonts w:ascii="Times New Roman" w:hAnsi="Times New Roman" w:cs="Arial"/>
          <w:color w:val="000000"/>
          <w:sz w:val="24"/>
          <w:szCs w:val="24"/>
          <w:lang w:val="en-US"/>
        </w:rPr>
        <w:t>and another angle representing the offset from that circumference (</w:t>
      </w:r>
      <w:r w:rsidR="00A15CBD" w:rsidRPr="00186E91">
        <w:rPr>
          <w:rFonts w:ascii="Times New Roman" w:hAnsi="Times New Roman" w:cs="Symbol"/>
          <w:color w:val="000000"/>
          <w:sz w:val="24"/>
          <w:szCs w:val="24"/>
          <w:lang w:val="en-US"/>
        </w:rPr>
        <w:t>θ</w:t>
      </w:r>
      <w:r w:rsidR="00A15CBD" w:rsidRPr="00186E91">
        <w:rPr>
          <w:rFonts w:ascii="Times New Roman" w:hAnsi="Times New Roman" w:cs="Arial"/>
          <w:color w:val="000000"/>
          <w:sz w:val="24"/>
          <w:szCs w:val="24"/>
          <w:lang w:val="en-US"/>
        </w:rPr>
        <w:t>, phase of the stimulus).</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The sin of the sum of two angles (A and B) follows this expression: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sin(A+B)= cos(B)sin(A)+sin(B)cos(A)</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Therefore, for one angle being </w:t>
      </w:r>
      <w:r w:rsidRPr="00186E91">
        <w:rPr>
          <w:rFonts w:ascii="Times New Roman" w:hAnsi="Times New Roman" w:cs="Symbol"/>
          <w:color w:val="000000"/>
          <w:sz w:val="24"/>
          <w:szCs w:val="24"/>
          <w:lang w:val="en-US"/>
        </w:rPr>
        <w:t xml:space="preserve">θ </w:t>
      </w:r>
      <w:r w:rsidRPr="00186E91">
        <w:rPr>
          <w:rFonts w:ascii="Times New Roman" w:hAnsi="Times New Roman" w:cs="Arial"/>
          <w:color w:val="000000"/>
          <w:sz w:val="24"/>
          <w:szCs w:val="24"/>
          <w:lang w:val="en-US"/>
        </w:rPr>
        <w:t xml:space="preserve">and the other w*t,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sin (wt +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 cos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sin (wt) + sin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cos (wt)</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If </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1=cos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xml:space="preserve">) and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 =sin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 then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sin(wt+</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1sin(wt)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2cos(wt)</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We can think about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 xml:space="preserve">1 and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 as being regressors in a general linear model (GLM) analysis, where in the X matrix we model sin(wt) and cos (wt). The GLM will look like:</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Y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1X1+</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2X2</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Y=data;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 xml:space="preserve">2 = parameter estimates. X1, X2= Columns of the design matrix representing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 (wt) and cos (wt).</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Since,</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Tan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sin(</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)/cos(</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xml:space="preserve">)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xml:space="preserve">=arctan(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w:t>
      </w:r>
    </w:p>
    <w:p w:rsidR="00422096" w:rsidRPr="00186E91" w:rsidRDefault="00186E91"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Pr>
          <w:rFonts w:ascii="Times New Roman" w:hAnsi="Times New Roman" w:cs="Arial"/>
          <w:color w:val="000000"/>
          <w:sz w:val="24"/>
          <w:szCs w:val="24"/>
          <w:lang w:val="en-US"/>
        </w:rPr>
        <w:t>w</w:t>
      </w:r>
      <w:r w:rsidR="00A15CBD" w:rsidRPr="00186E91">
        <w:rPr>
          <w:rFonts w:ascii="Times New Roman" w:hAnsi="Times New Roman" w:cs="Arial"/>
          <w:color w:val="000000"/>
          <w:sz w:val="24"/>
          <w:lang w:val="en-US"/>
        </w:rPr>
        <w:t xml:space="preserve">e calculated the inverse tan of the two </w:t>
      </w:r>
      <w:r w:rsidR="00A15CBD" w:rsidRPr="00186E91">
        <w:rPr>
          <w:rFonts w:ascii="Times New Roman" w:hAnsi="Times New Roman" w:cs="Symbol"/>
          <w:color w:val="000000"/>
          <w:sz w:val="24"/>
          <w:lang w:val="en-US"/>
        </w:rPr>
        <w:t xml:space="preserve">β </w:t>
      </w:r>
      <w:r w:rsidR="00A15CBD" w:rsidRPr="00186E91">
        <w:rPr>
          <w:rFonts w:ascii="Times New Roman" w:hAnsi="Times New Roman" w:cs="Arial"/>
          <w:color w:val="000000"/>
          <w:sz w:val="24"/>
          <w:lang w:val="en-US"/>
        </w:rPr>
        <w:t>images (one representing the parameter estimates for the sine covariate and the other for the cosine), resulting in an image where grey level maps to visual angle. These images were then converted from grey to colour-coded maps for easier visualization.</w:t>
      </w:r>
      <w:r w:rsidR="00422096" w:rsidRPr="00186E91">
        <w:rPr>
          <w:rFonts w:ascii="Times New Roman" w:hAnsi="Times New Roman"/>
          <w:color w:val="141413"/>
          <w:sz w:val="24"/>
          <w:lang w:val="en-GB"/>
        </w:rPr>
        <w:t xml:space="preserve"> Reversals of the direction of phase change across the cortical surface are taken as boundaries of visual areas. The boundaries of visual areas V1--V4 are drawn by eye, on the basis of these reversals viewed on a flattened version of each participant’s reference anatomy.</w:t>
      </w:r>
      <w:r w:rsidR="00422096" w:rsidRPr="00186E91">
        <w:rPr>
          <w:rFonts w:ascii="Times New Roman" w:hAnsi="Times New Roman"/>
          <w:color w:val="000000"/>
          <w:sz w:val="24"/>
          <w:lang w:val="en-GB"/>
        </w:rPr>
        <w:t xml:space="preserve"> The best way to visualize the colour-coded phase maps of the eccentricity and angular representations data is on a “flat-map”, which is a 2D representation of the grey matter. Because the surface of the human cortex is very convoluted, understanding and analyzing the spatial relationships is easier in 2D space rather than 3D space. The process of cortical flattening involves three major stages: extraction of the cortical surface, inflation in three dimensions, and flattening of the inflated surface. The inflated surface in this case is best cut along the calcarine sulcus, because this provides the boundaries of the dorsal and ventral systems. Colour-coded phase maps of the eccentricity and angular representations data are overlaid onto flatmaps of the cortical surface. The delineation of the retinotopic visual areas is based on the fact that the orientation of the visual field representation on the cortical surface changes between adjacent areas. V1 is identified as a complete representation of one entire hemifield (180</w:t>
      </w:r>
      <w:r w:rsidR="00422096" w:rsidRPr="00186E91">
        <w:rPr>
          <w:rFonts w:ascii="Times New Roman" w:hAnsi="Times New Roman"/>
          <w:color w:val="000000"/>
          <w:sz w:val="24"/>
          <w:vertAlign w:val="superscript"/>
          <w:lang w:val="en-GB"/>
        </w:rPr>
        <w:t>o</w:t>
      </w:r>
      <w:r w:rsidR="00422096" w:rsidRPr="00186E91">
        <w:rPr>
          <w:rFonts w:ascii="Times New Roman" w:hAnsi="Times New Roman"/>
          <w:color w:val="000000"/>
          <w:sz w:val="24"/>
          <w:lang w:val="en-GB"/>
        </w:rPr>
        <w:t xml:space="preserve"> of phase, half the colour map) centred on the calcarine sulcus. At V1 boundaries (vertical meridian), the orderly progression of colours reverses direction back to the representation of the horizontal meridian, forming a ventral representation of the upper visual quadrant (V2v) and dorsal representation of the lower visual quadrant (V2d). The colour progression returns back to the representation of the horizontal meridian, which determines the limits of areas V3d (dorsal) and V3v (ventral), each one comprising, again, a quarter of the visual field. V3A is identified as a region representing a full hemifield dorsal to V3d. On the ventral side of the brain, a complete hemifield is present beyond area V3v, a region identified as V4.</w:t>
      </w:r>
    </w:p>
    <w:p w:rsidR="00531E8A" w:rsidRDefault="00422096" w:rsidP="00422096">
      <w:pPr>
        <w:pStyle w:val="NormalWeb"/>
        <w:spacing w:after="0" w:line="360" w:lineRule="auto"/>
        <w:jc w:val="center"/>
        <w:rPr>
          <w:lang w:val="en-US"/>
        </w:rPr>
      </w:pPr>
      <w:r>
        <w:rPr>
          <w:noProof/>
          <w:lang w:val="en-GB" w:eastAsia="en-GB"/>
        </w:rPr>
        <w:drawing>
          <wp:inline distT="0" distB="0" distL="0" distR="0">
            <wp:extent cx="5400000" cy="4762187"/>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400000" cy="4762187"/>
                    </a:xfrm>
                    <a:prstGeom prst="rect">
                      <a:avLst/>
                    </a:prstGeom>
                    <a:noFill/>
                    <a:ln w="9525">
                      <a:noFill/>
                      <a:miter lim="800000"/>
                      <a:headEnd/>
                      <a:tailEnd/>
                    </a:ln>
                  </pic:spPr>
                </pic:pic>
              </a:graphicData>
            </a:graphic>
          </wp:inline>
        </w:drawing>
      </w:r>
    </w:p>
    <w:p w:rsidR="00422096" w:rsidRDefault="00422096" w:rsidP="00614961">
      <w:pPr>
        <w:pStyle w:val="NormalWeb"/>
        <w:spacing w:after="0" w:line="360" w:lineRule="auto"/>
        <w:jc w:val="both"/>
        <w:rPr>
          <w:sz w:val="18"/>
          <w:szCs w:val="18"/>
          <w:lang w:val="en-GB"/>
        </w:rPr>
      </w:pPr>
      <w:r>
        <w:rPr>
          <w:sz w:val="18"/>
          <w:szCs w:val="18"/>
          <w:lang w:val="en-GB"/>
        </w:rPr>
        <w:t>Fig.3 Retinotopic mapping as in Goebel et al. (2003). (A) Contrast map in volume space. (B) Contrast map in folded cortex meshes. C) Contrast map in a flattened cortex representation. (D) Drawn retinotopic areas in flattened cortex representation.</w:t>
      </w:r>
    </w:p>
    <w:p w:rsidR="00422096" w:rsidRPr="00CC3A24" w:rsidRDefault="00422096" w:rsidP="000262BE">
      <w:pPr>
        <w:pStyle w:val="NormalWeb"/>
        <w:spacing w:after="0" w:line="360" w:lineRule="auto"/>
        <w:outlineLvl w:val="0"/>
        <w:rPr>
          <w:lang w:val="en-US"/>
        </w:rPr>
      </w:pPr>
      <w:r>
        <w:rPr>
          <w:rFonts w:ascii="Times-Roman" w:hAnsi="Times-Roman"/>
          <w:color w:val="000000"/>
          <w:lang w:val="en-GB"/>
        </w:rPr>
        <w:t>2.2.4 General Linear Model</w:t>
      </w:r>
    </w:p>
    <w:p w:rsidR="00422096" w:rsidRPr="00CC3A24" w:rsidRDefault="00422096" w:rsidP="00422096">
      <w:pPr>
        <w:pStyle w:val="NormalWeb"/>
        <w:spacing w:after="0" w:line="360" w:lineRule="auto"/>
        <w:rPr>
          <w:lang w:val="en-US"/>
        </w:rPr>
      </w:pPr>
    </w:p>
    <w:p w:rsidR="00422096" w:rsidRPr="00422096" w:rsidRDefault="00422096" w:rsidP="00CC3A24">
      <w:pPr>
        <w:pStyle w:val="NormalWeb"/>
        <w:spacing w:after="0" w:line="360" w:lineRule="auto"/>
        <w:ind w:firstLine="708"/>
        <w:jc w:val="both"/>
        <w:rPr>
          <w:lang w:val="en-US"/>
        </w:rPr>
      </w:pPr>
      <w:r>
        <w:rPr>
          <w:rFonts w:ascii="Times-Roman" w:hAnsi="Times-Roman"/>
          <w:color w:val="000000"/>
          <w:lang w:val="en-GB"/>
        </w:rPr>
        <w:t xml:space="preserve">General linear modelling sets up a model and fits it to the data. </w:t>
      </w:r>
      <w:r>
        <w:rPr>
          <w:lang w:val="en-GB"/>
        </w:rPr>
        <w:t xml:space="preserve">From the perspective of multiple regression analysis, the GLM aims to ‘explain’ or ‘predict’ the variation of a dependent variable in terms of a </w:t>
      </w:r>
      <w:r>
        <w:rPr>
          <w:i/>
          <w:iCs/>
          <w:lang w:val="en-GB"/>
        </w:rPr>
        <w:t>linear combination</w:t>
      </w:r>
      <w:r>
        <w:rPr>
          <w:lang w:val="en-GB"/>
        </w:rPr>
        <w:t xml:space="preserve"> (weighted sum) of several reference functions. The dependent variable corresponds to the observed fMRI time course of a voxel and the reference functions corresponding to time courses of expected (idealized) fMRI responses for different conditions of the experimental paradigm. The reference functions are also called </w:t>
      </w:r>
      <w:r>
        <w:rPr>
          <w:i/>
          <w:iCs/>
          <w:lang w:val="en-GB"/>
        </w:rPr>
        <w:t>predictors</w:t>
      </w:r>
      <w:r>
        <w:rPr>
          <w:lang w:val="en-GB"/>
        </w:rPr>
        <w:t xml:space="preserve">, regressors, explanatory variables, covariates or basis functions. A set of specified predictors forms the </w:t>
      </w:r>
      <w:r>
        <w:rPr>
          <w:i/>
          <w:iCs/>
          <w:lang w:val="en-GB"/>
        </w:rPr>
        <w:t>design matrix</w:t>
      </w:r>
      <w:r>
        <w:rPr>
          <w:lang w:val="en-GB"/>
        </w:rPr>
        <w:t xml:space="preserve">, also called the </w:t>
      </w:r>
      <w:r>
        <w:rPr>
          <w:i/>
          <w:iCs/>
          <w:lang w:val="en-GB"/>
        </w:rPr>
        <w:t>model</w:t>
      </w:r>
      <w:r>
        <w:rPr>
          <w:lang w:val="en-GB"/>
        </w:rPr>
        <w:t>. A predictor time course is typically obtained by convolution of a condition box-car time course with a standard hemodynamic response function (two-gamma HRF or single-gamma HRF).</w:t>
      </w:r>
      <w:r>
        <w:rPr>
          <w:rFonts w:ascii="Times-Roman" w:hAnsi="Times-Roman"/>
          <w:color w:val="000000"/>
          <w:lang w:val="en-GB"/>
        </w:rPr>
        <w:t xml:space="preserve"> A very simple example of linear modelling is y(t)= β*x(t)+c+e(t) where each predictor time course </w:t>
      </w:r>
      <w:r>
        <w:rPr>
          <w:rFonts w:ascii="Times-Roman" w:hAnsi="Times-Roman"/>
          <w:i/>
          <w:iCs/>
          <w:color w:val="000000"/>
          <w:lang w:val="en-GB"/>
        </w:rPr>
        <w:t>x</w:t>
      </w:r>
      <w:r>
        <w:rPr>
          <w:rFonts w:ascii="Times-Roman" w:hAnsi="Times-Roman"/>
          <w:color w:val="000000"/>
          <w:lang w:val="en-GB"/>
        </w:rPr>
        <w:t xml:space="preserve"> gets an associated coefficient or β </w:t>
      </w:r>
      <w:r>
        <w:rPr>
          <w:rFonts w:ascii="Times-Roman" w:hAnsi="Times-Roman"/>
          <w:i/>
          <w:iCs/>
          <w:color w:val="000000"/>
          <w:lang w:val="en-GB"/>
        </w:rPr>
        <w:t xml:space="preserve">beta weight </w:t>
      </w:r>
      <w:r>
        <w:rPr>
          <w:rFonts w:ascii="Times-Roman" w:hAnsi="Times-Roman"/>
          <w:color w:val="000000"/>
          <w:lang w:val="en-GB"/>
        </w:rPr>
        <w:t xml:space="preserve">, quantifying its potential contribution in explaining the voxel time course </w:t>
      </w:r>
      <w:r>
        <w:rPr>
          <w:rFonts w:ascii="Times-Roman" w:hAnsi="Times-Roman"/>
          <w:i/>
          <w:iCs/>
          <w:color w:val="000000"/>
          <w:lang w:val="en-GB"/>
        </w:rPr>
        <w:t>y</w:t>
      </w:r>
      <w:r>
        <w:rPr>
          <w:rFonts w:ascii="Times-Roman" w:hAnsi="Times-Roman"/>
          <w:color w:val="000000"/>
          <w:lang w:val="en-GB"/>
        </w:rPr>
        <w:t xml:space="preserve">. The voxel time course </w:t>
      </w:r>
      <w:r>
        <w:rPr>
          <w:rFonts w:ascii="Times-Roman" w:hAnsi="Times-Roman"/>
          <w:i/>
          <w:iCs/>
          <w:color w:val="000000"/>
          <w:lang w:val="en-GB"/>
        </w:rPr>
        <w:t>y</w:t>
      </w:r>
      <w:r>
        <w:rPr>
          <w:rFonts w:ascii="Times-Roman" w:hAnsi="Times-Roman"/>
          <w:color w:val="000000"/>
          <w:lang w:val="en-GB"/>
        </w:rPr>
        <w:t xml:space="preserve"> is modelled as the sum of the defined predictors, each multiplied with the associated beta weight </w:t>
      </w:r>
      <w:r>
        <w:rPr>
          <w:rFonts w:ascii="Times-Roman" w:hAnsi="Times-Roman"/>
          <w:i/>
          <w:iCs/>
          <w:color w:val="000000"/>
          <w:lang w:val="en-GB"/>
        </w:rPr>
        <w:t>β</w:t>
      </w:r>
      <w:r>
        <w:rPr>
          <w:rFonts w:ascii="Times-Roman" w:hAnsi="Times-Roman"/>
          <w:color w:val="000000"/>
          <w:lang w:val="en-GB"/>
        </w:rPr>
        <w:t xml:space="preserve">. Since this linear combination will not perfectly explain the data due to noise fluctuations, an error value </w:t>
      </w:r>
      <w:r>
        <w:rPr>
          <w:rFonts w:ascii="Times-Roman" w:hAnsi="Times-Roman"/>
          <w:i/>
          <w:iCs/>
          <w:color w:val="000000"/>
          <w:lang w:val="en-GB"/>
        </w:rPr>
        <w:t>e</w:t>
      </w:r>
      <w:r>
        <w:rPr>
          <w:rFonts w:ascii="Times-Roman" w:hAnsi="Times-Roman"/>
          <w:color w:val="000000"/>
          <w:lang w:val="en-GB"/>
        </w:rPr>
        <w:t xml:space="preserve"> is added to the GLM system of equations with </w:t>
      </w:r>
      <w:r>
        <w:rPr>
          <w:rFonts w:ascii="Times-Roman" w:hAnsi="Times-Roman"/>
          <w:i/>
          <w:iCs/>
          <w:color w:val="000000"/>
          <w:lang w:val="en-GB"/>
        </w:rPr>
        <w:t>n</w:t>
      </w:r>
      <w:r>
        <w:rPr>
          <w:rFonts w:ascii="Times-Roman" w:hAnsi="Times-Roman"/>
          <w:color w:val="000000"/>
          <w:lang w:val="en-GB"/>
        </w:rPr>
        <w:t xml:space="preserve"> data points and </w:t>
      </w:r>
      <w:r>
        <w:rPr>
          <w:rFonts w:ascii="Times-Roman" w:hAnsi="Times-Roman"/>
          <w:i/>
          <w:iCs/>
          <w:color w:val="000000"/>
          <w:lang w:val="en-GB"/>
        </w:rPr>
        <w:t>p</w:t>
      </w:r>
      <w:r>
        <w:rPr>
          <w:rFonts w:ascii="Times-Roman" w:hAnsi="Times-Roman"/>
          <w:color w:val="000000"/>
          <w:lang w:val="en-GB"/>
        </w:rPr>
        <w:t xml:space="preserve"> predictors. The </w:t>
      </w:r>
      <w:r>
        <w:rPr>
          <w:rFonts w:ascii="Times-Roman" w:hAnsi="Times-Roman"/>
          <w:i/>
          <w:iCs/>
          <w:color w:val="000000"/>
          <w:lang w:val="en-GB"/>
        </w:rPr>
        <w:t>y</w:t>
      </w:r>
      <w:r>
        <w:rPr>
          <w:rFonts w:ascii="Times-Roman" w:hAnsi="Times-Roman"/>
          <w:color w:val="000000"/>
          <w:lang w:val="en-GB"/>
        </w:rPr>
        <w:t xml:space="preserve"> variable on the left side corresponds to the data, i.e. the measured time course of a single voxel. The calculated beta-weights then tell us the relative heights, or amplitudes, of the different postulated predictor functions. We can then use these calculated beta weights in two ways. First, we can compare each calculated beta weight to zero. If the beta weight differs significantly from zero for a given voxel, we may say that that voxel is activated under the experimental condition that corresponds to that beta weight. Second, we can compare two or more beta weights to see if they are different. If two beta weights are significantly different for a given voxel, we may conclude that that voxel is more activated for one experimental condition than for another. Those values are then displayed all over the brain as a statistical map (contrast) and the map created can be manipulated on the basis of which stimulus/stimuli effect/effects (even interaction) we want to display. Thus we now have a statistical map, the next step is to threshold this, in order to decide, at a given level of significance which parts of the brain are activated. The simplest method is to chose a significance (P) threshold and apply this to every voxel in the statistical map. A problem with this is that there are many tests being carried out, because there are so many voxels in the brain. If 20000 voxels are tested for at a significance of P&lt;0.01 then it is expected that 200 will activate by chance, even if no stimulation is applied. This “multiple comparison problem” means that it is not valid to accept all activation reported by this method of thresholding; a correction is necessary to reduce the number of false positives. Typically a Bonferroni correction is used, where the significance level at each voxel is divided by the number of voxels. In our case, we analyze all the subject singularly (identifying ROIs and beta values for each) and then using some statistics on those data, or comparing the locations of activity of all the subjects on the basis of knowledge about the anatomy of the brain. ROIs are defined by two main methods: either identifying the mean activation for all our functional runs performed by the stimulus onset (i.e. patch of activity located in visual areas previously identified by retinotopic mapping) or by using a localizer run. The localizer is an extra functional run in which a stimulus which is meant to arouse a strong BOLD response (usually a checkerboard like stimulus) is used to map certain locations in the early visual areas that correspond to specific locations of the visual field. Once we have defined ROIs, to extract BOLD beta weights, all the voxels in the ROI are averaged, and this would be our estimation of the response due from our stimuli.</w:t>
      </w:r>
    </w:p>
    <w:p w:rsidR="00422096" w:rsidRDefault="00422096" w:rsidP="00422096">
      <w:pPr>
        <w:pStyle w:val="NormalWeb"/>
        <w:spacing w:after="0" w:line="360" w:lineRule="auto"/>
        <w:rPr>
          <w:lang w:val="en-GB"/>
        </w:rPr>
      </w:pPr>
    </w:p>
    <w:p w:rsidR="00422096" w:rsidRDefault="00422096" w:rsidP="000262BE">
      <w:pPr>
        <w:pStyle w:val="NormalWeb"/>
        <w:spacing w:after="0" w:line="360" w:lineRule="auto"/>
        <w:outlineLvl w:val="0"/>
        <w:rPr>
          <w:rFonts w:ascii="Times-Roman" w:hAnsi="Times-Roman"/>
          <w:color w:val="000000"/>
          <w:lang w:val="en-GB"/>
        </w:rPr>
      </w:pPr>
      <w:r>
        <w:rPr>
          <w:rFonts w:ascii="Times-Roman" w:hAnsi="Times-Roman"/>
          <w:color w:val="000000"/>
          <w:lang w:val="en-GB"/>
        </w:rPr>
        <w:t>2.2.5 Deconvolution Analysis</w:t>
      </w:r>
    </w:p>
    <w:p w:rsidR="00614961" w:rsidRDefault="00614961" w:rsidP="00422096">
      <w:pPr>
        <w:pStyle w:val="NormalWeb"/>
        <w:spacing w:after="0" w:line="360" w:lineRule="auto"/>
        <w:rPr>
          <w:lang w:val="en-GB"/>
        </w:rPr>
      </w:pPr>
    </w:p>
    <w:p w:rsidR="00422096" w:rsidRPr="00422096" w:rsidRDefault="00422096" w:rsidP="00CC3A24">
      <w:pPr>
        <w:pStyle w:val="NormalWeb"/>
        <w:spacing w:after="0" w:line="360" w:lineRule="auto"/>
        <w:ind w:firstLine="708"/>
        <w:jc w:val="both"/>
        <w:rPr>
          <w:lang w:val="en-US"/>
        </w:rPr>
      </w:pPr>
      <w:r>
        <w:rPr>
          <w:lang w:val="en-GB"/>
        </w:rPr>
        <w:t>The deconvolution approach is particularly suited for rapid event-related design where the normal convolution GLM is still valid but less effective due to the severe response overlap between two or more consecutive trials of the experiment. Deconvolution means not to convolve the BOLD response to the summations of the canonical HRFs that can concatenate with each other when two events are too close to each other in time, but the design of each protocol condition is coded in a user-specified number of "stick" predictors, each modelling the BOLD response separately at one delay (one data point) with respect to the onset of that condition. That means that for each functional run a matrix containing all the time points of each event type is produced. Thus, instead of convolving the signal to a canonical HRF, a single predictor is applied to each time point and estimated</w:t>
      </w:r>
      <w:r>
        <w:rPr>
          <w:rFonts w:ascii="Verdana" w:hAnsi="Verdana"/>
          <w:sz w:val="20"/>
          <w:szCs w:val="20"/>
          <w:lang w:val="en-GB"/>
        </w:rPr>
        <w:t xml:space="preserve"> </w:t>
      </w:r>
      <w:r>
        <w:rPr>
          <w:lang w:val="en-GB"/>
        </w:rPr>
        <w:t>from the data under two fundamental assumptions: the linearity of the response and a finite number of data points of the response. Of course, these two assumptions are also implicit in the standard convolution-based GLM, but here the entire shape (i.e. the number and relative weights of the single delays of the response) are not fixed in advance. This allows a more flexible fitting of the model and allows the user to compare conditions on a single data point basis. Of course, a much higher number of degrees of freedom are given in this analysis, which normally results in increased sensitivity to noise and possible loss of specificity when performed on a voxel-by-voxel basis. In conclusion, instead of adding and convolving different HRFs on a single data point basis, the linear prediction technique is used to estimate future values of a discrete time signal as a linear function of previous samples</w:t>
      </w:r>
    </w:p>
    <w:p w:rsidR="00F3618F" w:rsidRDefault="00F3618F" w:rsidP="00422096">
      <w:pPr>
        <w:pStyle w:val="NormalWeb"/>
        <w:spacing w:after="0" w:line="360" w:lineRule="auto"/>
        <w:rPr>
          <w:lang w:val="en-GB"/>
        </w:rPr>
      </w:pPr>
    </w:p>
    <w:p w:rsidR="00422096" w:rsidRDefault="00422096" w:rsidP="000262BE">
      <w:pPr>
        <w:pStyle w:val="NormalWeb"/>
        <w:spacing w:after="0" w:line="360" w:lineRule="auto"/>
        <w:outlineLvl w:val="0"/>
        <w:rPr>
          <w:lang w:val="en-GB"/>
        </w:rPr>
      </w:pPr>
      <w:r>
        <w:rPr>
          <w:lang w:val="en-GB"/>
        </w:rPr>
        <w:t>2.2.6 Multi Voxel Pattern Analysis</w:t>
      </w:r>
    </w:p>
    <w:p w:rsidR="00614961" w:rsidRPr="00422096" w:rsidRDefault="00614961" w:rsidP="00422096">
      <w:pPr>
        <w:pStyle w:val="NormalWeb"/>
        <w:spacing w:after="0" w:line="360" w:lineRule="auto"/>
        <w:rPr>
          <w:lang w:val="en-US"/>
        </w:rPr>
      </w:pPr>
    </w:p>
    <w:p w:rsidR="00422096" w:rsidRPr="00422096" w:rsidRDefault="00422096" w:rsidP="00CC3A24">
      <w:pPr>
        <w:pStyle w:val="NormalWeb"/>
        <w:spacing w:after="0" w:line="360" w:lineRule="auto"/>
        <w:ind w:firstLine="708"/>
        <w:jc w:val="both"/>
        <w:rPr>
          <w:lang w:val="en-US"/>
        </w:rPr>
      </w:pPr>
      <w:r>
        <w:rPr>
          <w:color w:val="000000"/>
          <w:lang w:val="en-GB"/>
        </w:rPr>
        <w:t xml:space="preserve">MVPA allows the detection of differences between conditions with higher sensitivity than conventional unvaried analysis (e.g. GLM), by focusing on the analysis and comparison of distributed patterns of activity in the brain. Available data is divided in two sets, a “training” and a “test” set. The training set is used during the learning phase, in which a pattern classifier (support vector machine, SVM) is trained to classify different patterns of activity in a defined ROI. The SVMs are popular classifiers for two main reasons: they find solutions to classification problems that have “generalization in mind” and they are able to find nonlinear solutions efficiently by performing the “kernel trick”. Support vector machine constructs one or a set of hyperplanes in a high or infinite dimensional space, which can be used for classification, regression, or other tasks. Intuitively, a good separation is achieved by the hyperplane that has the largest distance from the nearest training data points of any class, since in general the larger the margin, the lower the generalization error of the classifier. In addition the kernel trick is a way of mapping observations from a general set </w:t>
      </w:r>
      <w:r>
        <w:rPr>
          <w:i/>
          <w:iCs/>
          <w:color w:val="000000"/>
          <w:lang w:val="en-GB"/>
        </w:rPr>
        <w:t>S</w:t>
      </w:r>
      <w:r>
        <w:rPr>
          <w:color w:val="000000"/>
          <w:lang w:val="en-GB"/>
        </w:rPr>
        <w:t xml:space="preserve"> into a much higher- and possibly infinite-dimensional </w:t>
      </w:r>
      <w:r w:rsidRPr="00422096">
        <w:rPr>
          <w:color w:val="000000"/>
          <w:lang w:val="en-US"/>
        </w:rPr>
        <w:t>inner product space</w:t>
      </w:r>
      <w:r>
        <w:rPr>
          <w:color w:val="000000"/>
          <w:lang w:val="en-GB"/>
        </w:rPr>
        <w:t xml:space="preserve"> </w:t>
      </w:r>
      <w:r>
        <w:rPr>
          <w:i/>
          <w:iCs/>
          <w:color w:val="000000"/>
          <w:lang w:val="en-GB"/>
        </w:rPr>
        <w:t>V</w:t>
      </w:r>
      <w:r>
        <w:rPr>
          <w:color w:val="000000"/>
          <w:lang w:val="en-GB"/>
        </w:rPr>
        <w:t xml:space="preserve">, without ever having to compute the mapping explicitly, in the hope that the observations will gain meaningful linear structure in </w:t>
      </w:r>
      <w:r>
        <w:rPr>
          <w:i/>
          <w:iCs/>
          <w:color w:val="000000"/>
          <w:lang w:val="en-GB"/>
        </w:rPr>
        <w:t>V</w:t>
      </w:r>
      <w:r>
        <w:rPr>
          <w:color w:val="000000"/>
          <w:lang w:val="en-GB"/>
        </w:rPr>
        <w:t xml:space="preserve">. </w:t>
      </w:r>
      <w:r w:rsidRPr="00422096">
        <w:rPr>
          <w:color w:val="000000"/>
          <w:lang w:val="en-US"/>
        </w:rPr>
        <w:t>Linear classifications</w:t>
      </w:r>
      <w:r>
        <w:rPr>
          <w:color w:val="000000"/>
          <w:lang w:val="en-GB"/>
        </w:rPr>
        <w:t xml:space="preserve"> in </w:t>
      </w:r>
      <w:r>
        <w:rPr>
          <w:i/>
          <w:iCs/>
          <w:color w:val="000000"/>
          <w:lang w:val="en-GB"/>
        </w:rPr>
        <w:t>V</w:t>
      </w:r>
      <w:r>
        <w:rPr>
          <w:color w:val="000000"/>
          <w:lang w:val="en-GB"/>
        </w:rPr>
        <w:t xml:space="preserve"> are equivalent to generic classifications in </w:t>
      </w:r>
      <w:r>
        <w:rPr>
          <w:i/>
          <w:iCs/>
          <w:color w:val="000000"/>
          <w:lang w:val="en-GB"/>
        </w:rPr>
        <w:t>S</w:t>
      </w:r>
      <w:r>
        <w:rPr>
          <w:color w:val="000000"/>
          <w:lang w:val="en-GB"/>
        </w:rPr>
        <w:t xml:space="preserve">. The trick to avoid the explicit mapping is to use learning algorithms that only require dot products between the vectors in </w:t>
      </w:r>
      <w:r>
        <w:rPr>
          <w:i/>
          <w:iCs/>
          <w:color w:val="000000"/>
          <w:lang w:val="en-GB"/>
        </w:rPr>
        <w:t>V</w:t>
      </w:r>
      <w:r>
        <w:rPr>
          <w:color w:val="000000"/>
          <w:lang w:val="en-GB"/>
        </w:rPr>
        <w:t>, and choose the mapping such that these high-dimensional dot products can be computed within the original space, by calculating kernel functions.</w:t>
      </w:r>
    </w:p>
    <w:p w:rsidR="00422096" w:rsidRPr="00422096" w:rsidRDefault="00422096" w:rsidP="00CC3A24">
      <w:pPr>
        <w:pStyle w:val="NormalWeb"/>
        <w:spacing w:after="0" w:line="360" w:lineRule="auto"/>
        <w:ind w:firstLine="708"/>
        <w:jc w:val="both"/>
        <w:rPr>
          <w:lang w:val="en-US"/>
        </w:rPr>
      </w:pPr>
      <w:r>
        <w:rPr>
          <w:color w:val="000000"/>
          <w:lang w:val="en-GB"/>
        </w:rPr>
        <w:t>In order to obtain as many training examples as possible for each class, response values are extracted for each single trial instead of the mean of each run. The supervised learning of the algorithm allows us to establish which events have to be analysed. After the training we test the SVM on other runs, and the final output is an estimation of accuracy in recognizing different patterns of activity in the specific region of interest (ROI). That means that the classifier is trained to separate different patterns of activity in the ROI that are directly linked to specific events. If the same patterns are presents in the test phase, then the trained classifier is meant to recognize them, thus the specific events are processed in the same ROI in a different way.</w:t>
      </w:r>
    </w:p>
    <w:p w:rsidR="00614961" w:rsidRPr="00650134" w:rsidRDefault="00614961" w:rsidP="000262BE">
      <w:pPr>
        <w:pStyle w:val="NormalWeb"/>
        <w:pageBreakBefore/>
        <w:spacing w:after="0" w:line="360" w:lineRule="auto"/>
        <w:outlineLvl w:val="0"/>
        <w:rPr>
          <w:b/>
          <w:lang w:val="en-US"/>
        </w:rPr>
      </w:pPr>
      <w:r w:rsidRPr="00650134">
        <w:rPr>
          <w:b/>
          <w:lang w:val="en-GB"/>
        </w:rPr>
        <w:t>Part 3 METHODOLOGY AND RESULTS</w:t>
      </w:r>
    </w:p>
    <w:p w:rsidR="00614961" w:rsidRPr="00650134" w:rsidRDefault="00614961" w:rsidP="00650134">
      <w:pPr>
        <w:pStyle w:val="NormalWeb"/>
        <w:spacing w:after="0" w:line="360" w:lineRule="auto"/>
        <w:ind w:firstLine="708"/>
        <w:rPr>
          <w:b/>
          <w:lang w:val="en-GB"/>
        </w:rPr>
      </w:pPr>
    </w:p>
    <w:p w:rsidR="00614961" w:rsidRPr="00650134" w:rsidRDefault="00614961" w:rsidP="000262BE">
      <w:pPr>
        <w:pStyle w:val="NormalWeb"/>
        <w:spacing w:after="0" w:line="360" w:lineRule="auto"/>
        <w:outlineLvl w:val="0"/>
        <w:rPr>
          <w:b/>
          <w:lang w:val="en-GB"/>
        </w:rPr>
      </w:pPr>
      <w:r w:rsidRPr="00650134">
        <w:rPr>
          <w:b/>
          <w:lang w:val="en-GB"/>
        </w:rPr>
        <w:t>Chapter 3.1 General Methods</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lang w:val="en-GB"/>
        </w:rPr>
        <w:t>3.1.1 Apparatus</w:t>
      </w:r>
    </w:p>
    <w:p w:rsidR="00614961" w:rsidRDefault="00614961" w:rsidP="00614961">
      <w:pPr>
        <w:pStyle w:val="NormalWeb"/>
        <w:spacing w:after="0" w:line="360" w:lineRule="auto"/>
        <w:rPr>
          <w:lang w:val="en-GB"/>
        </w:rPr>
      </w:pPr>
    </w:p>
    <w:p w:rsidR="00614961" w:rsidRPr="00614961" w:rsidRDefault="00614961" w:rsidP="00186E91">
      <w:pPr>
        <w:pStyle w:val="NormalWeb"/>
        <w:spacing w:after="0" w:line="360" w:lineRule="auto"/>
        <w:ind w:firstLine="708"/>
        <w:jc w:val="both"/>
        <w:rPr>
          <w:lang w:val="en-US"/>
        </w:rPr>
      </w:pPr>
      <w:r>
        <w:rPr>
          <w:color w:val="000000"/>
          <w:lang w:val="en-GB"/>
        </w:rPr>
        <w:t>fMRI data were acquired using a 3T Siemens TRIO scanner equipped with a standard (whole-head) Siemens 8-channel array head coil and a custom-built 8-channel array coil (Stark Contrast, Erlangen, Germany) optimized for the occipital cortex (referred to as a posterior array or PA coil).</w:t>
      </w:r>
      <w:r>
        <w:rPr>
          <w:lang w:val="en-GB"/>
        </w:rPr>
        <w:t xml:space="preserve"> The standard (whole-head) coil was used in each experiment to acquire anatomical images of each subject’s brain. This anatomical scan was used to align all the subsequent functional images. </w:t>
      </w:r>
      <w:r>
        <w:rPr>
          <w:color w:val="000000"/>
          <w:lang w:val="en-GB"/>
        </w:rPr>
        <w:t xml:space="preserve">The PA coil was used for retinotopic mapping, as well as the acquisition of functional data in all the experiments. This type of coil is built to optimize signal to noise ratio for the occipital cortex, having all the 8 receiver elements in that region, but the spatial coverage is confined to this part of the brain and extends to parietal areas to an extent that depends on the size of the head of each particular subject. The signal decreases for more frontal areas, therefore it is unsuitable when a global investigation of the brain is required. </w:t>
      </w:r>
    </w:p>
    <w:p w:rsidR="00614961" w:rsidRDefault="00614961" w:rsidP="00186E91">
      <w:pPr>
        <w:pStyle w:val="NormalWeb"/>
        <w:spacing w:after="0" w:line="360" w:lineRule="auto"/>
        <w:ind w:firstLine="708"/>
        <w:jc w:val="both"/>
        <w:rPr>
          <w:lang w:val="en-GB"/>
        </w:rPr>
      </w:pPr>
      <w:r>
        <w:rPr>
          <w:color w:val="000000"/>
          <w:lang w:val="en-GB"/>
        </w:rPr>
        <w:t>Visual stimuli were constructed using C++ and OpenGL or Matlab and psychtoolbox. In most experiments, they were projected onto a screen at the end of the scanner bore by an LCD projector. Participants viewed the screen, whilst lying supine in the bore of the scanner, via a mirror positioned ~15 cm from their eyes. The screen refresh rate was 60 Hz and the resolution was 1024*768 pixels. The visible portion of the screen was approximately circular (diameter 30 deg).</w:t>
      </w:r>
      <w:r>
        <w:rPr>
          <w:lang w:val="en-GB"/>
        </w:rPr>
        <w:t xml:space="preserve"> In experiments 5 and 6 stimuli were presented via LCD goggles (NordicNeuroLab, Bergen, Norway) that were adjusted to match each participant’s inter-ocular distance. The image subtened a 30x23 deg visual angle and had a resolution of 800x600 pixels. In Experiment 5 eye tracking data was collected via an integrated NordicNeuroLab eye tracking camera (60hz) using Arrington software (Arrington Research, Scottsdale, AZ). All the subject responses were acquired via a button box.</w:t>
      </w:r>
    </w:p>
    <w:p w:rsidR="00EF5785" w:rsidRPr="00614961" w:rsidRDefault="00EF5785" w:rsidP="00186E91">
      <w:pPr>
        <w:pStyle w:val="NormalWeb"/>
        <w:spacing w:after="0" w:line="360" w:lineRule="auto"/>
        <w:ind w:firstLine="708"/>
        <w:jc w:val="both"/>
        <w:rPr>
          <w:lang w:val="en-US"/>
        </w:rPr>
      </w:pPr>
    </w:p>
    <w:p w:rsidR="00614961" w:rsidRDefault="00614961" w:rsidP="00186E91">
      <w:pPr>
        <w:pStyle w:val="NormalWeb"/>
        <w:spacing w:after="0" w:line="360" w:lineRule="auto"/>
        <w:jc w:val="both"/>
        <w:outlineLvl w:val="0"/>
        <w:rPr>
          <w:lang w:val="en-GB"/>
        </w:rPr>
      </w:pPr>
      <w:r>
        <w:rPr>
          <w:lang w:val="en-GB"/>
        </w:rPr>
        <w:t>3.1.2 Standard procedures</w:t>
      </w:r>
    </w:p>
    <w:p w:rsidR="00614961" w:rsidRDefault="00614961" w:rsidP="00186E91">
      <w:pPr>
        <w:pStyle w:val="NormalWeb"/>
        <w:spacing w:after="0" w:line="360" w:lineRule="auto"/>
        <w:jc w:val="both"/>
        <w:rPr>
          <w:lang w:val="en-GB"/>
        </w:rPr>
      </w:pPr>
    </w:p>
    <w:p w:rsidR="00614961" w:rsidRPr="00614961" w:rsidRDefault="00614961" w:rsidP="00186E91">
      <w:pPr>
        <w:pStyle w:val="NormalWeb"/>
        <w:spacing w:after="0" w:line="360" w:lineRule="auto"/>
        <w:ind w:firstLine="708"/>
        <w:jc w:val="both"/>
        <w:rPr>
          <w:lang w:val="en-US"/>
        </w:rPr>
      </w:pPr>
      <w:r>
        <w:rPr>
          <w:color w:val="000000"/>
          <w:lang w:val="en-GB"/>
        </w:rPr>
        <w:t>Subjects were tested in two separate scan sessions on different days. The first session was conducted using the standard headcoil, for even brain coverage. It included a high-resolution anatomical scan of the whole brain to which all the functional images were aligned (MDEFT; Deichmann et al., 2004; 176 axial slices, in-plane resolution 256 x 256, 1 mm isotropic voxels, TR = 7.92 ms, TE = 2.45 ms, flip angle = 16, bandwidth = 195 Hz/pixel). This scan was chosen because, although slow to acquire, it gives very high contrast between grey and white matter, which facilitates segmentation and flattening.</w:t>
      </w:r>
    </w:p>
    <w:p w:rsidR="00614961" w:rsidRPr="00614961" w:rsidRDefault="00614961" w:rsidP="00186E91">
      <w:pPr>
        <w:pStyle w:val="NormalWeb"/>
        <w:spacing w:after="0" w:line="360" w:lineRule="auto"/>
        <w:ind w:firstLine="708"/>
        <w:jc w:val="both"/>
        <w:rPr>
          <w:lang w:val="en-US"/>
        </w:rPr>
      </w:pPr>
      <w:r>
        <w:rPr>
          <w:color w:val="000000"/>
          <w:lang w:val="en-GB"/>
        </w:rPr>
        <w:t>The second session was conducted using the PA coil, for optimum sensitivity in the occipital cortex. It consisted of a fast 3D anatomical scan (MP-RAGE, Siemens), for use in the re-alignment process.</w:t>
      </w:r>
      <w:r w:rsidR="00186E91">
        <w:rPr>
          <w:color w:val="000000"/>
          <w:lang w:val="en-GB"/>
        </w:rPr>
        <w:t xml:space="preserve"> The MP-RAGE was used to align the short EPI’s to the MDEFT.</w:t>
      </w:r>
      <w:r>
        <w:rPr>
          <w:color w:val="000000"/>
          <w:lang w:val="en-GB"/>
        </w:rPr>
        <w:t xml:space="preserve"> This was followed by functional runs with the main task [EPI, 35 axial slices, TR 2.5s (2.0s for Experiment 5 and 7), TE 30 ms, 3 mm slices, 3x3 mm in-plane resolution, 115-240 volumes (according to the event timings and TR), total duration 5min (average)]. Each of these runs contained trials performed while the subject was lying inside the scanner. In addition several short EPI scans (for details see chapter 2) were acquired with the PA coil and an integral body coil, to assist with co-registration. This procedure consists of acquiring the two different EPI volumes, one with each coil, with as short an interval as possible (a few seconds) between them so that we can assume that the position of the subject did not change. On this basis we can use the body coil EPI image to perform the alignment with the MDEFT anatomy, and use the PA coil image to perform motion correction with the other functional runs and align them to the body coil EPI. This procedure was found to be necessary because direct co-registration of PA coil EPI images to anatomical images was found to be unreliable.</w:t>
      </w:r>
    </w:p>
    <w:p w:rsidR="00614961" w:rsidRPr="00614961" w:rsidRDefault="00614961" w:rsidP="00186E91">
      <w:pPr>
        <w:pStyle w:val="NormalWeb"/>
        <w:spacing w:after="0" w:line="360" w:lineRule="auto"/>
        <w:ind w:firstLine="708"/>
        <w:jc w:val="both"/>
        <w:rPr>
          <w:lang w:val="en-US"/>
        </w:rPr>
      </w:pPr>
      <w:r>
        <w:rPr>
          <w:lang w:val="en-GB"/>
        </w:rPr>
        <w:t>Retinotopic mapping was performed for each subject. It is well known that visual areas in the primary visual cortex are retinotopically organized. Retinotopic mapping allows us to retinotopically map and anatomically define early visual areas. Using periodic stimuli it is possible to generate waves of neural activity along the length of the occipital cortex. The rationale is that as a stimulus moves from point to point in the visual field, the locus of responding neurons will vary from point to point as well, thus the time course of alternation depends upon visual field location (Engel et al., 1994). For each subject, t</w:t>
      </w:r>
      <w:r>
        <w:rPr>
          <w:color w:val="000000"/>
          <w:lang w:val="en-GB"/>
        </w:rPr>
        <w:t>wo stimulus runs were performed, with binocular viewing via a standard mirror. In each run, a counterphasing checkerboard ‘wedge’ stimulus (a 24° sector) rotated clockwise at a rate of 64 s/cycle (eight cycles per run). The counterphase frequency was 8 Hz and the rotating wedge covered an area of a 24° visual angle in diameter. Check size was scaled by eccentricity in approximate accordance with the cortical magnification factor. Images were acquired and pre-processed with a standard echoplanar (EPI) sequence (28 slices, TR 2000ms, TE 30 ms, 3 mm slices, 3x3 mm in-plane resolution).</w:t>
      </w:r>
    </w:p>
    <w:p w:rsidR="00614961" w:rsidRPr="00614961" w:rsidRDefault="00614961" w:rsidP="00186E91">
      <w:pPr>
        <w:pStyle w:val="NormalWeb"/>
        <w:spacing w:after="0" w:line="360" w:lineRule="auto"/>
        <w:ind w:firstLine="708"/>
        <w:jc w:val="both"/>
        <w:rPr>
          <w:lang w:val="en-US"/>
        </w:rPr>
      </w:pPr>
      <w:r>
        <w:rPr>
          <w:color w:val="000000"/>
          <w:lang w:val="en-GB"/>
        </w:rPr>
        <w:t>In experiments 4, 5 and 7, regions of interest were identified by performing an additional ‘localizer’ run. This consisted of a block design (15s blocks) in which a flickering checkerboard was seen through apertures corresponding to particular regions of the visual field at the same locations to be stimulated in the main task (see details for each experiment in the method sections). This identified sub-regions for detailed study within the retinotopically defined visual regions.</w:t>
      </w:r>
    </w:p>
    <w:p w:rsidR="00614961" w:rsidRDefault="00614961" w:rsidP="00186E91">
      <w:pPr>
        <w:pStyle w:val="NormalWeb"/>
        <w:spacing w:after="0" w:line="360" w:lineRule="auto"/>
        <w:jc w:val="both"/>
        <w:rPr>
          <w:lang w:val="en-GB"/>
        </w:rPr>
      </w:pPr>
    </w:p>
    <w:p w:rsidR="00614961" w:rsidRDefault="00614961" w:rsidP="00186E91">
      <w:pPr>
        <w:pStyle w:val="NormalWeb"/>
        <w:spacing w:after="0" w:line="360" w:lineRule="auto"/>
        <w:jc w:val="both"/>
        <w:outlineLvl w:val="0"/>
        <w:rPr>
          <w:lang w:val="en-GB"/>
        </w:rPr>
      </w:pPr>
      <w:r>
        <w:rPr>
          <w:lang w:val="en-GB"/>
        </w:rPr>
        <w:t>3.1.3 Analysis</w:t>
      </w:r>
    </w:p>
    <w:p w:rsidR="00614961" w:rsidRDefault="00614961" w:rsidP="00186E91">
      <w:pPr>
        <w:pStyle w:val="NormalWeb"/>
        <w:spacing w:after="0" w:line="360" w:lineRule="auto"/>
        <w:jc w:val="both"/>
        <w:rPr>
          <w:lang w:val="en-GB"/>
        </w:rPr>
      </w:pPr>
    </w:p>
    <w:p w:rsidR="00614961" w:rsidRPr="00614961" w:rsidRDefault="00614961" w:rsidP="00186E91">
      <w:pPr>
        <w:pStyle w:val="NormalWeb"/>
        <w:spacing w:after="0" w:line="360" w:lineRule="auto"/>
        <w:ind w:firstLine="708"/>
        <w:jc w:val="both"/>
        <w:rPr>
          <w:lang w:val="en-US"/>
        </w:rPr>
      </w:pPr>
      <w:r>
        <w:rPr>
          <w:color w:val="000000"/>
          <w:lang w:val="en-GB"/>
        </w:rPr>
        <w:t xml:space="preserve">All data were pre-processed and analyzed with </w:t>
      </w:r>
      <w:r>
        <w:rPr>
          <w:i/>
          <w:iCs/>
          <w:color w:val="000000"/>
          <w:lang w:val="en-GB"/>
        </w:rPr>
        <w:t xml:space="preserve">BrainVoyager QX </w:t>
      </w:r>
      <w:r>
        <w:rPr>
          <w:color w:val="000000"/>
          <w:lang w:val="en-GB"/>
        </w:rPr>
        <w:t xml:space="preserve">(version 1.10, Brain Innovation, The Netherlands). The first five volumes of each run were excluded from the analysis to allow for saturation effects. EPIs were corrected for head motion and slice timing, and were filtered with a temporal high-pass filter of 0.01 Hz. All functional images were aligned to an EPI volume acquired at the beginning of the scan session. This was co-registered to the MDEFT anatomical volume. The results were visualized using flattened representations of each person’s grey matter derived from the MDEFT anatomical scan. The flattened representation was created by segmenting and reconstructing the border between grey and white matter within each hemisphere of the MDEFT scan using </w:t>
      </w:r>
      <w:r>
        <w:rPr>
          <w:i/>
          <w:iCs/>
          <w:color w:val="000000"/>
          <w:lang w:val="en-GB"/>
        </w:rPr>
        <w:t>BrainVoyager</w:t>
      </w:r>
      <w:r>
        <w:rPr>
          <w:color w:val="000000"/>
          <w:lang w:val="en-GB"/>
        </w:rPr>
        <w:t xml:space="preserve">. The resulting surfaces were smoothed, inflated, and cut along the calcarine sulcus. Finally, the surface was flattened and corrected for linear distortions. </w:t>
      </w:r>
    </w:p>
    <w:p w:rsidR="00614961" w:rsidRPr="00614961" w:rsidRDefault="00614961" w:rsidP="00186E91">
      <w:pPr>
        <w:pStyle w:val="NormalWeb"/>
        <w:spacing w:after="0" w:line="360" w:lineRule="auto"/>
        <w:ind w:firstLine="708"/>
        <w:jc w:val="both"/>
        <w:rPr>
          <w:lang w:val="en-US"/>
        </w:rPr>
      </w:pPr>
      <w:r>
        <w:rPr>
          <w:color w:val="000000"/>
          <w:lang w:val="en-GB"/>
        </w:rPr>
        <w:t xml:space="preserve">Retinotopic mapping data were analyzed by fitting a model to the time course obtained with the rotating wedge stimulus. This consisted of a rectangular wave of duty cycle 24/360, reflecting the duration of stimulation at any portion of the visual field, convolved with the HRF (which is a function that starts at the onset of any event, then peaks at about 5-6 seconds before returning to baseline). The phase of the fitted response was taken as an index of visual field location, in terms of polar angle. Reversals of the direction of phase change across the cortical surface were taken as boundaries of visual areas. The boundaries of </w:t>
      </w:r>
      <w:r>
        <w:rPr>
          <w:color w:val="030066"/>
          <w:lang w:val="en-GB"/>
        </w:rPr>
        <w:t>v</w:t>
      </w:r>
      <w:r>
        <w:rPr>
          <w:color w:val="000000"/>
          <w:lang w:val="en-GB"/>
        </w:rPr>
        <w:t>isual areas V1–V3 were drawn by eye, on the basis of these reversals viewed on a flattened version of each participant’s reference anatomy.</w:t>
      </w:r>
    </w:p>
    <w:p w:rsidR="00614961" w:rsidRPr="00614961" w:rsidRDefault="00614961" w:rsidP="00186E91">
      <w:pPr>
        <w:pStyle w:val="NormalWeb"/>
        <w:spacing w:after="0" w:line="360" w:lineRule="auto"/>
        <w:ind w:firstLine="708"/>
        <w:jc w:val="both"/>
        <w:rPr>
          <w:lang w:val="en-US"/>
        </w:rPr>
      </w:pPr>
      <w:r>
        <w:rPr>
          <w:color w:val="000000"/>
          <w:lang w:val="en-GB"/>
        </w:rPr>
        <w:t>Analysis of main task runs was conducted within the General Linear Model (GLM). This method consists of fitting the raw signal with a model response at the onset of each event. The standard model is the hemodynamic response function (HRF). The GLM in fMRI can be seen as an extension of linear multiple regression for a single dependent variable, and this allows analysis of data from one voxel as a linear combination of the predictors. For each predictor a scaling factor or “beta weight” is generated during the model-fitting process and this is converted to the change in % of the BOLD signal from the baseline. A separate GLM analysis was conducted for each participant. The regressors were entered into a multiple regression analysis to generate parameter estimates for each regressor at every voxel. Correction for effects of serial autocorrelations, which we regard as essential in single-subject analyses (Smith et al, 2007), was applied using the AR(1) method.</w:t>
      </w:r>
    </w:p>
    <w:p w:rsidR="00614961" w:rsidRPr="00614961" w:rsidRDefault="00614961" w:rsidP="00186E91">
      <w:pPr>
        <w:pStyle w:val="NormalWeb"/>
        <w:spacing w:after="0" w:line="360" w:lineRule="auto"/>
        <w:ind w:firstLine="708"/>
        <w:jc w:val="both"/>
        <w:rPr>
          <w:lang w:val="en-US"/>
        </w:rPr>
      </w:pPr>
      <w:r>
        <w:rPr>
          <w:color w:val="000000"/>
          <w:lang w:val="en-GB"/>
        </w:rPr>
        <w:t>In experiment 6, in order to extract the exact shape of the time course of each event, we performed deconvolution analysis on our data (see chapter 2 for details). In Experiment 6, event timing was in multiples of 500 ms and the TR was 2500ms. Before performing deconvolution, the raw signal was therefore resampled to give a resolution of 500ms by interpolation. This resampling was performed using Matlab. Deconvolution was performed using both BrainVoyager and SPM to provide a double check.</w:t>
      </w:r>
    </w:p>
    <w:p w:rsidR="00614961" w:rsidRPr="00614961" w:rsidRDefault="00614961" w:rsidP="00186E91">
      <w:pPr>
        <w:pStyle w:val="NormalWeb"/>
        <w:spacing w:after="0" w:line="360" w:lineRule="auto"/>
        <w:ind w:firstLine="708"/>
        <w:jc w:val="both"/>
        <w:rPr>
          <w:lang w:val="en-US"/>
        </w:rPr>
      </w:pPr>
      <w:r>
        <w:rPr>
          <w:color w:val="000000"/>
          <w:lang w:val="en-GB"/>
        </w:rPr>
        <w:t xml:space="preserve">In Experiment 4 we used Multi-Voxel Pattern Analysis (MVPA). MVPA allows detection of differences between conditions with higher sensitivity than conventional univariate analysis (e.g. GLM), by focusing on the analysis and comparison of distributed patterns of activity in the brain (for details see chapter 2). </w:t>
      </w:r>
    </w:p>
    <w:p w:rsidR="00614961" w:rsidRDefault="00614961" w:rsidP="00614961">
      <w:pPr>
        <w:pStyle w:val="NormalWeb"/>
        <w:spacing w:after="0" w:line="360" w:lineRule="auto"/>
        <w:rPr>
          <w:lang w:val="en-GB"/>
        </w:rPr>
      </w:pPr>
    </w:p>
    <w:p w:rsidR="00614961" w:rsidRDefault="00614961" w:rsidP="00614961">
      <w:pPr>
        <w:pStyle w:val="NormalWeb"/>
        <w:spacing w:after="0" w:line="360" w:lineRule="auto"/>
        <w:rPr>
          <w:lang w:val="en-GB"/>
        </w:rPr>
      </w:pPr>
    </w:p>
    <w:p w:rsidR="00614961" w:rsidRPr="00650134" w:rsidRDefault="00614961" w:rsidP="000262BE">
      <w:pPr>
        <w:pStyle w:val="NormalWeb"/>
        <w:pageBreakBefore/>
        <w:spacing w:after="0" w:line="360" w:lineRule="auto"/>
        <w:outlineLvl w:val="0"/>
        <w:rPr>
          <w:b/>
          <w:lang w:val="en-GB"/>
        </w:rPr>
      </w:pPr>
      <w:r w:rsidRPr="00650134">
        <w:rPr>
          <w:b/>
          <w:lang w:val="en-GB"/>
        </w:rPr>
        <w:t>Chapter 3.2 Experiment 1</w:t>
      </w:r>
      <w:r w:rsidR="004B7A29">
        <w:rPr>
          <w:b/>
          <w:lang w:val="en-GB"/>
        </w:rPr>
        <w:t xml:space="preserve"> – Dissociating Prestimulus activity and stimulus evoked enhanced response</w:t>
      </w:r>
      <w:r w:rsidR="00EB559F">
        <w:rPr>
          <w:b/>
          <w:lang w:val="en-GB"/>
        </w:rPr>
        <w:t xml:space="preserve"> (1)</w:t>
      </w:r>
      <w:r w:rsidR="004B7A29">
        <w:rPr>
          <w:b/>
          <w:lang w:val="en-GB"/>
        </w:rPr>
        <w:t>.</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lang w:val="en-GB"/>
        </w:rPr>
        <w:t>3.2.1 Introduction</w:t>
      </w:r>
    </w:p>
    <w:p w:rsidR="00614961" w:rsidRDefault="00614961" w:rsidP="00614961">
      <w:pPr>
        <w:pStyle w:val="NormalWeb"/>
        <w:spacing w:after="0" w:line="360" w:lineRule="auto"/>
        <w:rPr>
          <w:lang w:val="en-GB"/>
        </w:rPr>
      </w:pPr>
    </w:p>
    <w:p w:rsidR="00614961" w:rsidRPr="00614961" w:rsidRDefault="00614961" w:rsidP="00CC3A24">
      <w:pPr>
        <w:pStyle w:val="NormalWeb"/>
        <w:spacing w:after="0" w:line="360" w:lineRule="auto"/>
        <w:ind w:firstLine="708"/>
        <w:jc w:val="both"/>
        <w:rPr>
          <w:lang w:val="en-US"/>
        </w:rPr>
      </w:pPr>
      <w:r>
        <w:rPr>
          <w:lang w:val="en-GB"/>
        </w:rPr>
        <w:t>Our ability to relate to the environment depends in large part on the quality of the neuronal sensory signals on which we have to base perceptual decisions (Britten et al., 1992, 1996; Uka and De Angelis, 2003; Heuer and Britten, 2004). In order to boost the signals from the world, the physical qualities of the signal are manipulated by the internal factors of an observer, such as motivation, perceived reward and attention (Gold and Shandlen, 2007). Attention has been shown to affect stimulus evoked responses both at the level of individual neurons (</w:t>
      </w:r>
      <w:r>
        <w:rPr>
          <w:color w:val="141413"/>
          <w:lang w:val="en-GB"/>
        </w:rPr>
        <w:t>Reynolds and Chelazzi, 2004; Maunsell and Treue, 2006) and averaged across populations of cells, as measured by blood oxygenation level-dependent (BOLD) neuroimaging (Kastner and Ungerleider, 2001; Corbetta and Shulman, 2002; Pessoa et al., 2003). Thus attention has an additive effect on this stimulus response, and this may increase the quality of the representation of the attended object by prioritizing it over unattended objects to allow optimum</w:t>
      </w:r>
      <w:r>
        <w:rPr>
          <w:rFonts w:ascii="Times-Roman" w:hAnsi="Times-Roman"/>
          <w:color w:val="141413"/>
          <w:lang w:val="en-GB"/>
        </w:rPr>
        <w:t xml:space="preserve"> use of limited neural resources (Desimone and Duncan, 1995). </w:t>
      </w:r>
      <w:r>
        <w:rPr>
          <w:color w:val="141413"/>
          <w:lang w:val="en-GB"/>
        </w:rPr>
        <w:t>In addition, several studies have shown that pre-stimulus neural signals can predict the accuracy of an upcoming decision (Sapir et al., 2005; Sylvester et al., 2007, 2008). The relationship between what is happening before the onset of a stimulus in the same location of the retinotopic location of the visual field (pre-stimulus baseline shift), and the attentional modulation of the stimulus evoked response is still unclear. It might be that those two signals are correlated, and this would suggest that a single mechanism underlies the attentional modulation to the two signals in the cortex. Another possibility is that preparatory responses are applied to all the neurons of the particular retinotopic location, whereas stimulus evoked responses are boosted only for the neural populations that are specifically responding to the particular features of the object to be detected. The last explanation is that the two modulations are completely independent, therefore part of two different processes. In order to investigate these hypotheses we examined pre-stimulus and stimulus evoked responses when a subject was performing an orientation discrimination task where he/she was informed about the difficulty of the upcoming task. It has been shown that increasing the difficulty of the task also increases the load of activity in the cortex due to attention (Sunaert et al., 2000). The idea is that increasing the difficulty of the task increases the subject’s attentional load. In the case that a single attentional process modulates the two signals, then the same differences between conditions will be seen for both pre-stimulus and stimulus evoked responses. Alternatively, the difficulty of the task might affect only one of the two signals in the brain, or might affect both but in different ways, in which case the results will be significantly different for the two signals. We also investigate this relationship on a trial by trial basis by correlating the single pre-stimulus and stimulus evoked responses. In the literature, physiological studies have shown a lack of correlation between pre-stimulus activity and stimulus response on a trial by trial basis (Luck et al., 1997); several explanations are possible to explain these results without ruling out the “additive signal hypothesis” (for details see chapter 1). Thus if they reflect the same process, and the pre-stimulus activity conforms to the final modulation of the stimulus evoked response, then the two signals should be positively correlated on a trial by trial basis.</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lang w:val="en-GB"/>
        </w:rPr>
        <w:t>3.2.2 Methods</w:t>
      </w:r>
    </w:p>
    <w:p w:rsidR="00614961" w:rsidRDefault="00614961" w:rsidP="00614961">
      <w:pPr>
        <w:pStyle w:val="NormalWeb"/>
        <w:spacing w:after="0" w:line="360" w:lineRule="auto"/>
        <w:rPr>
          <w:lang w:val="en-GB"/>
        </w:rPr>
      </w:pPr>
    </w:p>
    <w:p w:rsidR="00614961" w:rsidRPr="00614961" w:rsidRDefault="004B7A29" w:rsidP="00CC3A24">
      <w:pPr>
        <w:pStyle w:val="NormalWeb"/>
        <w:spacing w:after="0" w:line="360" w:lineRule="auto"/>
        <w:ind w:firstLine="708"/>
        <w:jc w:val="both"/>
        <w:rPr>
          <w:lang w:val="en-US"/>
        </w:rPr>
      </w:pPr>
      <w:r>
        <w:rPr>
          <w:color w:val="000000"/>
          <w:lang w:val="en-GB"/>
        </w:rPr>
        <w:t>8 Subjects (</w:t>
      </w:r>
      <w:r w:rsidR="00BA6D0A">
        <w:rPr>
          <w:lang w:val="en-GB"/>
        </w:rPr>
        <w:t>one male; age 19-32</w:t>
      </w:r>
      <w:r>
        <w:rPr>
          <w:color w:val="000000"/>
          <w:lang w:val="en-GB"/>
        </w:rPr>
        <w:t xml:space="preserve">) participated at the experiment. </w:t>
      </w:r>
      <w:r w:rsidR="00614961">
        <w:rPr>
          <w:color w:val="000000"/>
          <w:lang w:val="en-GB"/>
        </w:rPr>
        <w:t>The task involved orientation discrimination. Trials at four levels of difficulty were randomly inter-mixed. Each trial consisted of a cue followed by a pair of grating stimuli. The cue was displayed for 500 ms. It informed the participant of the difficulty of the trial by means of a small arrow at fixation, pointing in one of four different directions (where 0 degrees is vertical and directions progress clockwise: 300deg - very easy; 330deg - easy; 30deg - difficult; 60deg - very difficult). The stimulus was presented for 1000 ms and was composed of two counterphasing Gabors (0.25 c/deg, 3 Hz, SD 1deg, truncated at 3 deg radius, peak contrast 100%). These were located on the horizontal meridian, one on the left and one on the right side of the fixation square, centred at an eccentricity of 5 deg. They had slightly different orientations and the task was to identify whether the orientation of the left Gabor was rotated clockwise or counterclockwise compared with the right one. The reference Gabor (right) could appear in any of seven different, equally spaced orientations (30-60 degrees where 0 is vertical, steps of 5 degrees). The comparison Gabor (left) differed from the reference Gabor by ± 2, 4, 6 or 8 degrees, in accordance with the difficulty cue. No feedback was provided. The difficulty level of the task was varied randomly from trial to trial according to a rectangular probability distribution in an order that was different for each run.</w:t>
      </w:r>
    </w:p>
    <w:p w:rsidR="00422096" w:rsidRDefault="00614961" w:rsidP="00614961">
      <w:pPr>
        <w:pStyle w:val="NormalWeb"/>
        <w:spacing w:after="0" w:line="360" w:lineRule="auto"/>
        <w:jc w:val="center"/>
        <w:rPr>
          <w:lang w:val="en-US"/>
        </w:rPr>
      </w:pPr>
      <w:r>
        <w:rPr>
          <w:noProof/>
          <w:lang w:val="en-GB" w:eastAsia="en-GB"/>
        </w:rPr>
        <w:drawing>
          <wp:inline distT="0" distB="0" distL="0" distR="0">
            <wp:extent cx="2621611" cy="2804400"/>
            <wp:effectExtent l="19050" t="0" r="7289"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21611" cy="2804400"/>
                    </a:xfrm>
                    <a:prstGeom prst="rect">
                      <a:avLst/>
                    </a:prstGeom>
                    <a:noFill/>
                    <a:ln w="9525">
                      <a:noFill/>
                      <a:miter lim="800000"/>
                      <a:headEnd/>
                      <a:tailEnd/>
                    </a:ln>
                  </pic:spPr>
                </pic:pic>
              </a:graphicData>
            </a:graphic>
          </wp:inline>
        </w:drawing>
      </w:r>
    </w:p>
    <w:p w:rsidR="00614961" w:rsidRPr="00614961" w:rsidRDefault="00614961" w:rsidP="00614961">
      <w:pPr>
        <w:pStyle w:val="NormalWeb"/>
        <w:spacing w:after="0" w:line="360" w:lineRule="auto"/>
        <w:jc w:val="both"/>
        <w:rPr>
          <w:lang w:val="en-US"/>
        </w:rPr>
      </w:pPr>
      <w:r>
        <w:rPr>
          <w:color w:val="000000"/>
          <w:sz w:val="18"/>
          <w:szCs w:val="18"/>
          <w:lang w:val="en-GB"/>
        </w:rPr>
        <w:t>Fig 4 Time course of one trial. A cue indicating the difficulty level of the task was followed after a variable interval by a pair of Gabor stimuli, immediately followed by a cue to respond. In the example shown, the cue indicates “very difficult” (arrow points 60</w:t>
      </w:r>
      <w:r>
        <w:rPr>
          <w:rFonts w:ascii="Arial" w:hAnsi="Arial" w:cs="Arial"/>
          <w:color w:val="000000"/>
          <w:sz w:val="18"/>
          <w:szCs w:val="18"/>
          <w:lang w:val="en-GB"/>
        </w:rPr>
        <w:t>◦</w:t>
      </w:r>
      <w:r>
        <w:rPr>
          <w:color w:val="000000"/>
          <w:sz w:val="18"/>
          <w:szCs w:val="18"/>
          <w:lang w:val="en-GB"/>
        </w:rPr>
        <w:t xml:space="preserve"> clockwise from vertical).</w:t>
      </w:r>
    </w:p>
    <w:p w:rsidR="00614961" w:rsidRDefault="00614961" w:rsidP="00CC3A24">
      <w:pPr>
        <w:pStyle w:val="NormalWeb"/>
        <w:spacing w:after="0" w:line="360" w:lineRule="auto"/>
        <w:ind w:firstLine="708"/>
        <w:jc w:val="both"/>
        <w:rPr>
          <w:lang w:val="en-GB"/>
        </w:rPr>
      </w:pPr>
      <w:r>
        <w:rPr>
          <w:color w:val="000000"/>
          <w:lang w:val="en-GB"/>
        </w:rPr>
        <w:t>Between the difficulty cue and the stimulus the screen was blank, apart from the fixation square, for a random time (rectangular probability distribution between 6 and 9 sec for 75% of the trials and between 3 and 6 sec for the remaining 25% of the trials; average 6.75s). This arrangement gives a long enough mean interval to allow separate detection of responses to the cue and stimulus, while discouraging the subject from ignoring the first few seconds and attending only towards the end of the interval. After the stimulus presentation, the fixation square turned blue for two seconds indicating that the subject should respond. Subjects had to respond whether the left Gabor was oriented more clockwise or more counter-clockwise than the right, by pressing one of two buttons.</w:t>
      </w:r>
    </w:p>
    <w:p w:rsidR="00614961" w:rsidRPr="00614961" w:rsidRDefault="00614961" w:rsidP="00CC3A24">
      <w:pPr>
        <w:pStyle w:val="NormalWeb"/>
        <w:spacing w:after="0" w:line="360" w:lineRule="auto"/>
        <w:ind w:firstLine="708"/>
        <w:jc w:val="both"/>
        <w:rPr>
          <w:lang w:val="en-US"/>
        </w:rPr>
      </w:pPr>
      <w:r>
        <w:rPr>
          <w:color w:val="000000"/>
          <w:lang w:val="en-GB"/>
        </w:rPr>
        <w:t xml:space="preserve">Each run contained 18 trials separated by an inter-trial interval in which the screen was uniform apart from the fixation square. The interval varied between 4 and 12 sec with a Poisson probability distribution (see Hagberg et al., 2001). The mean interval was 6 sec, the maximum and minimum were 12 sec and 4 sec and the interval varied in steps of 0.5sec. The Poisson distribution is used because it provides a wide range of different time lengths, thus not allowing the subject to learn the timing of the task. Eight runs were conducted, each using a different random </w:t>
      </w:r>
    </w:p>
    <w:p w:rsidR="00614961" w:rsidRPr="00614961" w:rsidRDefault="00614961" w:rsidP="00614961">
      <w:pPr>
        <w:pStyle w:val="NormalWeb"/>
        <w:spacing w:after="0" w:line="360" w:lineRule="auto"/>
        <w:jc w:val="both"/>
        <w:rPr>
          <w:lang w:val="en-US"/>
        </w:rPr>
      </w:pPr>
      <w:r>
        <w:rPr>
          <w:color w:val="000000"/>
          <w:lang w:val="en-GB"/>
        </w:rPr>
        <w:t>sequence of trials, with short breaks between runs. The scan duration was approximately 45 minutes, including the anatomical scan. Separate regressors were used for the cue and the task and for each of the 4 levels of difficulty (8 regressors of interest in total).</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i/>
          <w:iCs/>
          <w:color w:val="000000"/>
          <w:lang w:val="en-GB"/>
        </w:rPr>
        <w:t>Analysis</w:t>
      </w:r>
    </w:p>
    <w:p w:rsidR="00614961" w:rsidRDefault="00614961" w:rsidP="00CC3A24">
      <w:pPr>
        <w:pStyle w:val="NormalWeb"/>
        <w:spacing w:after="0" w:line="360" w:lineRule="auto"/>
        <w:ind w:firstLine="708"/>
        <w:jc w:val="both"/>
        <w:rPr>
          <w:color w:val="000000"/>
          <w:lang w:val="en-GB"/>
        </w:rPr>
      </w:pPr>
      <w:r>
        <w:rPr>
          <w:color w:val="000000"/>
          <w:lang w:val="en-GB"/>
        </w:rPr>
        <w:t>Each stimulus presentation was modelled as a boxcar of 1 s duration and each pre-stimulus period, commencing with a difficulty cue presentation, was modelled as a boxcar of 0.5 s duration, convolved in each case with a canonical haemodynamic response function (see exp. 6 for explanations about the choice of the model used). Because the stimuli activated only small regions of the visual field, regions of interest (ROI) were defined within each retinotopically defined area, based on the activations due to the stimulus presentation in the main experiment (average of all 8 runs</w:t>
      </w:r>
      <w:r w:rsidR="004B7A29">
        <w:rPr>
          <w:color w:val="000000"/>
          <w:lang w:val="en-GB"/>
        </w:rPr>
        <w:t xml:space="preserve"> thresholded at p&lt;0.001</w:t>
      </w:r>
      <w:r>
        <w:rPr>
          <w:color w:val="000000"/>
          <w:lang w:val="en-GB"/>
        </w:rPr>
        <w:t>). Stimulus-related activations were used because they were larger than pre-stimulus activations. Basing the ROI on stimulus responses rather than pre-stimulus (preparatory) responses could bias the effect size estimates towards larger effects for the stimulus, but this is unimportant because no comparisons between pre-stimulus and stimulus response magnitudes were made. Visual areas were defined separately in each hemisphere, yielding six ROIs in total. ROIs so defined are illustrated for one hemisphere in Fig. 2. Stimuli on the horizontal meridian elicit activity in a discrete patch in the middle of V1 and in another patch on the V2/V3 border, in both the dorsal and ventral representations. These are indicated in the figure. The V2/V3 patch was divided based on the retinotopic map and the dorsal and ventral activations were combined to create the final ROI in each case.</w:t>
      </w:r>
    </w:p>
    <w:p w:rsidR="00614961" w:rsidRPr="00614961" w:rsidRDefault="00614961" w:rsidP="00614961">
      <w:pPr>
        <w:pStyle w:val="NormalWeb"/>
        <w:spacing w:after="0" w:line="360" w:lineRule="auto"/>
        <w:jc w:val="center"/>
        <w:rPr>
          <w:lang w:val="en-US"/>
        </w:rPr>
      </w:pPr>
      <w:r>
        <w:rPr>
          <w:noProof/>
          <w:lang w:val="en-GB" w:eastAsia="en-GB"/>
        </w:rPr>
        <w:drawing>
          <wp:inline distT="0" distB="0" distL="0" distR="0">
            <wp:extent cx="5400000" cy="343474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400000" cy="3434745"/>
                    </a:xfrm>
                    <a:prstGeom prst="rect">
                      <a:avLst/>
                    </a:prstGeom>
                    <a:noFill/>
                    <a:ln w="9525">
                      <a:noFill/>
                      <a:miter lim="800000"/>
                      <a:headEnd/>
                      <a:tailEnd/>
                    </a:ln>
                  </pic:spPr>
                </pic:pic>
              </a:graphicData>
            </a:graphic>
          </wp:inline>
        </w:drawing>
      </w:r>
    </w:p>
    <w:p w:rsidR="00614961" w:rsidRDefault="00614961" w:rsidP="00614961">
      <w:pPr>
        <w:pStyle w:val="NormalWeb"/>
        <w:spacing w:after="0" w:line="360" w:lineRule="auto"/>
        <w:jc w:val="both"/>
        <w:rPr>
          <w:lang w:val="en-GB"/>
        </w:rPr>
      </w:pPr>
      <w:r>
        <w:rPr>
          <w:color w:val="000000"/>
          <w:sz w:val="18"/>
          <w:szCs w:val="18"/>
          <w:lang w:val="en-GB"/>
        </w:rPr>
        <w:t>Fig.5 (a)Flattened representation of the occipital cortex of one hemisphere showing retinotopic areas (V1–V3). Stimulus-related BOLD activation is superimposed as a colour overlay, averaged across all 8 runs in the main experiment. The activation largely excludes the fovea and far periphery, reflecting the location of the stimulus. The ROIs used for quantitative analysis are shown. (b) Pre-stimulus BOLD activation from the same dataset. The activity that is weaker than the stimulus-related activity, as expected, but has a very similar spatial extent.</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color w:val="000000"/>
          <w:lang w:val="en-GB"/>
        </w:rPr>
        <w:t>3.2.3 Results</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i/>
          <w:iCs/>
          <w:color w:val="000000"/>
          <w:lang w:val="en-GB"/>
        </w:rPr>
        <w:t>Performance data</w:t>
      </w:r>
    </w:p>
    <w:p w:rsidR="00614961" w:rsidRDefault="00614961" w:rsidP="00CC3A24">
      <w:pPr>
        <w:pStyle w:val="NormalWeb"/>
        <w:spacing w:after="0" w:line="360" w:lineRule="auto"/>
        <w:ind w:firstLine="708"/>
        <w:jc w:val="both"/>
        <w:rPr>
          <w:color w:val="000000"/>
          <w:lang w:val="en-GB"/>
        </w:rPr>
      </w:pPr>
      <w:r>
        <w:rPr>
          <w:color w:val="000000"/>
          <w:lang w:val="en-GB"/>
        </w:rPr>
        <w:t>The behavioural data are summarized in Fig. Performance is around 90% at the two easiest difficulty levels and then declines, reaching about 60% at the hardest level (chance is 50%). Data are averaged across all participants. This means that the subjects performed in accordance to the difficulty levels that we chose, suggesting that performing easy tasks would require less attentional load in order to make perceptual decisions.</w:t>
      </w:r>
    </w:p>
    <w:p w:rsidR="00614961" w:rsidRDefault="00614961" w:rsidP="00614961">
      <w:pPr>
        <w:pStyle w:val="NormalWeb"/>
        <w:spacing w:after="0" w:line="360" w:lineRule="auto"/>
        <w:jc w:val="center"/>
        <w:rPr>
          <w:lang w:val="en-US"/>
        </w:rPr>
      </w:pPr>
      <w:r>
        <w:rPr>
          <w:noProof/>
          <w:lang w:val="en-GB" w:eastAsia="en-GB"/>
        </w:rPr>
        <w:drawing>
          <wp:inline distT="0" distB="0" distL="0" distR="0">
            <wp:extent cx="5400000" cy="3259447"/>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00000" cy="3259447"/>
                    </a:xfrm>
                    <a:prstGeom prst="rect">
                      <a:avLst/>
                    </a:prstGeom>
                    <a:noFill/>
                    <a:ln w="9525">
                      <a:noFill/>
                      <a:miter lim="800000"/>
                      <a:headEnd/>
                      <a:tailEnd/>
                    </a:ln>
                  </pic:spPr>
                </pic:pic>
              </a:graphicData>
            </a:graphic>
          </wp:inline>
        </w:drawing>
      </w:r>
    </w:p>
    <w:p w:rsidR="00614961" w:rsidRDefault="00614961" w:rsidP="000262BE">
      <w:pPr>
        <w:pStyle w:val="NormalWeb"/>
        <w:spacing w:after="0" w:line="360" w:lineRule="auto"/>
        <w:jc w:val="both"/>
        <w:outlineLvl w:val="0"/>
        <w:rPr>
          <w:lang w:val="en-GB"/>
        </w:rPr>
      </w:pPr>
      <w:r>
        <w:rPr>
          <w:color w:val="000000"/>
          <w:sz w:val="18"/>
          <w:szCs w:val="18"/>
          <w:lang w:val="en-GB"/>
        </w:rPr>
        <w:t>Fig.6 Performances averaged across subjects. Each difficulty level taken alone.</w:t>
      </w:r>
    </w:p>
    <w:p w:rsidR="00614961" w:rsidRDefault="00614961" w:rsidP="00EF5785">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i/>
          <w:iCs/>
          <w:color w:val="000000"/>
          <w:lang w:val="en-GB"/>
        </w:rPr>
        <w:t>Imaging data</w:t>
      </w:r>
    </w:p>
    <w:p w:rsidR="00614961" w:rsidRDefault="00614961" w:rsidP="00614961">
      <w:pPr>
        <w:pStyle w:val="NormalWeb"/>
        <w:spacing w:after="0" w:line="360" w:lineRule="auto"/>
        <w:rPr>
          <w:lang w:val="en-GB"/>
        </w:rPr>
      </w:pPr>
    </w:p>
    <w:p w:rsidR="00614961" w:rsidRDefault="00614961" w:rsidP="000262BE">
      <w:pPr>
        <w:pStyle w:val="NormalWeb"/>
        <w:spacing w:after="0" w:line="360" w:lineRule="auto"/>
        <w:outlineLvl w:val="0"/>
        <w:rPr>
          <w:lang w:val="en-GB"/>
        </w:rPr>
      </w:pPr>
      <w:r>
        <w:rPr>
          <w:i/>
          <w:iCs/>
          <w:color w:val="000000"/>
          <w:lang w:val="en-GB"/>
        </w:rPr>
        <w:t>Response magnitude</w:t>
      </w:r>
    </w:p>
    <w:p w:rsidR="00614961" w:rsidRPr="00614961" w:rsidRDefault="00614961" w:rsidP="00CC3A24">
      <w:pPr>
        <w:pStyle w:val="NormalWeb"/>
        <w:spacing w:after="0" w:line="360" w:lineRule="auto"/>
        <w:ind w:firstLine="708"/>
        <w:jc w:val="both"/>
        <w:rPr>
          <w:lang w:val="en-US"/>
        </w:rPr>
      </w:pPr>
      <w:r>
        <w:rPr>
          <w:color w:val="000000"/>
          <w:lang w:val="en-GB"/>
        </w:rPr>
        <w:t>Mean BOLD responses were calculated separately for pre-stimulus (attention-related) activity and for the response to the visual stimulus. In each case, results were averaged across the left and right ROIs, separately for each of three visual areas (V1, V2 and V3). Although several other visual areas were reliably identified with retinotopic mapping, it was not always possible to identify within them a response to the peripheral stimuli used in the main experiment and so analysis was confined to these three regions, where it was usually possible. Fig 7 shows that pre-stimulus responses were weaker than stimulus evoked responses but their spatial distributions were very similar. Thus the attention-related response in the absence of visual stimulation is confined to the spatial location of the expected target and therefore reflects spatial attention rather than a non-specific arousal or alerting response. This is consistent with earlier studies (e.g. Kastner et al., 1999). As with the behavioural data, the trials were divided into difficulty levels both for pre-stimulus and stimulus response, for each visual area (Fig7 ). The results are similar for each visual area and show no differences between difficulty levels for both pre-stimulus and stimulus response. A two way ANOVA was performed with factors visual areas (V1, V2, V3) and difficulty levels, for each event type. There was no main effect of visual area in either analysis</w:t>
      </w:r>
      <w:r w:rsidR="00580C98">
        <w:rPr>
          <w:color w:val="000000"/>
          <w:lang w:val="en-GB"/>
        </w:rPr>
        <w:t xml:space="preserve"> (F</w:t>
      </w:r>
      <w:r w:rsidR="009B4A4C">
        <w:rPr>
          <w:color w:val="000000"/>
          <w:lang w:val="en-GB"/>
        </w:rPr>
        <w:t>(4.76)</w:t>
      </w:r>
      <w:r w:rsidR="00580C98">
        <w:rPr>
          <w:color w:val="000000"/>
          <w:lang w:val="en-GB"/>
        </w:rPr>
        <w:t>=2.846, F</w:t>
      </w:r>
      <w:r w:rsidR="009B4A4C">
        <w:rPr>
          <w:color w:val="000000"/>
          <w:lang w:val="en-GB"/>
        </w:rPr>
        <w:t>(4.76)</w:t>
      </w:r>
      <w:r w:rsidR="00580C98">
        <w:rPr>
          <w:color w:val="000000"/>
          <w:lang w:val="en-GB"/>
        </w:rPr>
        <w:t>=1.810; p&gt;0.05)</w:t>
      </w:r>
      <w:r>
        <w:rPr>
          <w:color w:val="000000"/>
          <w:lang w:val="en-GB"/>
        </w:rPr>
        <w:t>, or for difficulty levels</w:t>
      </w:r>
      <w:r w:rsidR="004B7A29">
        <w:rPr>
          <w:color w:val="000000"/>
          <w:lang w:val="en-GB"/>
        </w:rPr>
        <w:t xml:space="preserve"> (</w:t>
      </w:r>
      <w:r w:rsidR="00580C98">
        <w:rPr>
          <w:color w:val="000000"/>
          <w:lang w:val="en-GB"/>
        </w:rPr>
        <w:t>F</w:t>
      </w:r>
      <w:r w:rsidR="009B4A4C">
        <w:rPr>
          <w:color w:val="000000"/>
          <w:lang w:val="en-GB"/>
        </w:rPr>
        <w:t>(4.53)</w:t>
      </w:r>
      <w:r w:rsidR="00580C98">
        <w:rPr>
          <w:color w:val="000000"/>
          <w:lang w:val="en-GB"/>
        </w:rPr>
        <w:t>=2.333, F</w:t>
      </w:r>
      <w:r w:rsidR="009B4A4C">
        <w:rPr>
          <w:color w:val="000000"/>
          <w:lang w:val="en-GB"/>
        </w:rPr>
        <w:t>(4.53)</w:t>
      </w:r>
      <w:r w:rsidR="00580C98">
        <w:rPr>
          <w:color w:val="000000"/>
          <w:lang w:val="en-GB"/>
        </w:rPr>
        <w:t xml:space="preserve">=3.450; </w:t>
      </w:r>
      <w:r w:rsidR="004B7A29">
        <w:rPr>
          <w:color w:val="000000"/>
          <w:lang w:val="en-GB"/>
        </w:rPr>
        <w:t>p&gt;0.05)</w:t>
      </w:r>
      <w:r>
        <w:rPr>
          <w:color w:val="000000"/>
          <w:lang w:val="en-GB"/>
        </w:rPr>
        <w:t>.</w:t>
      </w:r>
    </w:p>
    <w:p w:rsidR="00614961" w:rsidRDefault="00614961" w:rsidP="00561484">
      <w:pPr>
        <w:pStyle w:val="NormalWeb"/>
        <w:spacing w:after="0" w:line="360" w:lineRule="auto"/>
        <w:jc w:val="center"/>
        <w:rPr>
          <w:lang w:val="en-US"/>
        </w:rPr>
      </w:pPr>
      <w:r>
        <w:rPr>
          <w:noProof/>
          <w:lang w:val="en-GB" w:eastAsia="en-GB"/>
        </w:rPr>
        <w:drawing>
          <wp:inline distT="0" distB="0" distL="0" distR="0">
            <wp:extent cx="5400000" cy="3857100"/>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400000" cy="3857100"/>
                    </a:xfrm>
                    <a:prstGeom prst="rect">
                      <a:avLst/>
                    </a:prstGeom>
                    <a:noFill/>
                    <a:ln w="9525">
                      <a:noFill/>
                      <a:miter lim="800000"/>
                      <a:headEnd/>
                      <a:tailEnd/>
                    </a:ln>
                  </pic:spPr>
                </pic:pic>
              </a:graphicData>
            </a:graphic>
          </wp:inline>
        </w:drawing>
      </w:r>
    </w:p>
    <w:p w:rsidR="0035318C" w:rsidRDefault="0035318C" w:rsidP="0035318C">
      <w:pPr>
        <w:pStyle w:val="NormalWeb"/>
        <w:spacing w:after="0" w:line="360" w:lineRule="auto"/>
        <w:jc w:val="both"/>
        <w:rPr>
          <w:lang w:val="en-GB"/>
        </w:rPr>
      </w:pPr>
      <w:r>
        <w:rPr>
          <w:color w:val="000000"/>
          <w:sz w:val="18"/>
          <w:szCs w:val="18"/>
          <w:lang w:val="en-GB"/>
        </w:rPr>
        <w:t xml:space="preserve">Fig 7. BOLD pre-stimulus activity and stimulus responses for each difficulty levels and visual areas averaged across participants. </w:t>
      </w:r>
    </w:p>
    <w:p w:rsidR="0035318C" w:rsidRDefault="0035318C" w:rsidP="00CC3A24">
      <w:pPr>
        <w:pStyle w:val="NormalWeb"/>
        <w:spacing w:after="0" w:line="360" w:lineRule="auto"/>
        <w:ind w:firstLine="708"/>
        <w:jc w:val="both"/>
        <w:rPr>
          <w:color w:val="000000"/>
          <w:lang w:val="en-GB"/>
        </w:rPr>
      </w:pPr>
      <w:r>
        <w:rPr>
          <w:color w:val="000000"/>
          <w:lang w:val="en-GB"/>
        </w:rPr>
        <w:t xml:space="preserve">We split the trials in the first and second half to see whether changes in time for the two events were related in some way. The idea here is that if there is a relation between the two types of attentional modulation, then any change in time for pre-stimulus activity will follow the change in time for stimulus evoked response. If the pre-stimulus activity and the stimulus evoked response were correlated because they reflect a common process, then any change in time for one of the two events would be reflected in the result for the other. The overall results for the three visual areas, averaged across left and right hemispheres and also across the four difficulty levels, are shown in figure 8. </w:t>
      </w:r>
    </w:p>
    <w:p w:rsidR="0035318C" w:rsidRDefault="0035318C" w:rsidP="0035318C">
      <w:pPr>
        <w:pStyle w:val="NormalWeb"/>
        <w:spacing w:after="0" w:line="360" w:lineRule="auto"/>
        <w:jc w:val="both"/>
        <w:rPr>
          <w:lang w:val="en-US"/>
        </w:rPr>
      </w:pPr>
      <w:r>
        <w:rPr>
          <w:noProof/>
          <w:lang w:val="en-GB" w:eastAsia="en-GB"/>
        </w:rPr>
        <w:drawing>
          <wp:inline distT="0" distB="0" distL="0" distR="0">
            <wp:extent cx="5400000" cy="3048857"/>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400000" cy="3048857"/>
                    </a:xfrm>
                    <a:prstGeom prst="rect">
                      <a:avLst/>
                    </a:prstGeom>
                    <a:noFill/>
                    <a:ln w="9525">
                      <a:noFill/>
                      <a:miter lim="800000"/>
                      <a:headEnd/>
                      <a:tailEnd/>
                    </a:ln>
                  </pic:spPr>
                </pic:pic>
              </a:graphicData>
            </a:graphic>
          </wp:inline>
        </w:drawing>
      </w:r>
    </w:p>
    <w:p w:rsidR="0035318C" w:rsidRDefault="0035318C" w:rsidP="0035318C">
      <w:pPr>
        <w:pStyle w:val="NormalWeb"/>
        <w:spacing w:after="0" w:line="360" w:lineRule="auto"/>
        <w:jc w:val="both"/>
        <w:rPr>
          <w:color w:val="000000"/>
          <w:sz w:val="18"/>
          <w:szCs w:val="18"/>
          <w:lang w:val="en-US"/>
        </w:rPr>
      </w:pPr>
      <w:r>
        <w:rPr>
          <w:color w:val="000000"/>
          <w:sz w:val="18"/>
          <w:szCs w:val="18"/>
          <w:lang w:val="en-GB"/>
        </w:rPr>
        <w:t xml:space="preserve">Fig.8 </w:t>
      </w:r>
      <w:r w:rsidRPr="0035318C">
        <w:rPr>
          <w:color w:val="000000"/>
          <w:sz w:val="18"/>
          <w:szCs w:val="18"/>
          <w:lang w:val="en-US"/>
        </w:rPr>
        <w:t>Mean BOLD responses for visual areas V1- V3 collapsed across the four difficulty levels and averaged across participants and hemispheres. Results for the pre-stimulus and post-stimulus time periods are shown separately. Error bars show ±1 SEM (n = 8).</w:t>
      </w:r>
    </w:p>
    <w:p w:rsidR="00650134" w:rsidRPr="0035318C" w:rsidRDefault="00650134" w:rsidP="0035318C">
      <w:pPr>
        <w:pStyle w:val="NormalWeb"/>
        <w:spacing w:after="0" w:line="360" w:lineRule="auto"/>
        <w:jc w:val="both"/>
        <w:rPr>
          <w:color w:val="000000"/>
          <w:sz w:val="18"/>
          <w:szCs w:val="18"/>
          <w:lang w:val="en-US"/>
        </w:rPr>
      </w:pPr>
    </w:p>
    <w:p w:rsidR="0035318C" w:rsidRDefault="0035318C" w:rsidP="00CC3A24">
      <w:pPr>
        <w:pStyle w:val="NormalWeb"/>
        <w:spacing w:after="0" w:line="360" w:lineRule="auto"/>
        <w:ind w:firstLine="708"/>
        <w:jc w:val="both"/>
        <w:rPr>
          <w:lang w:val="en-GB"/>
        </w:rPr>
      </w:pPr>
      <w:r>
        <w:rPr>
          <w:color w:val="000000"/>
          <w:lang w:val="en-GB"/>
        </w:rPr>
        <w:t>The results are similar in the three visual areas examined. They show a consistent reduction of the measured BOLD response in late trials (light bars) relative to early trials (dark bars). Importantly, the reduction is evident not only for responses to the stimuli but also for pre-stimulus responses.</w:t>
      </w:r>
    </w:p>
    <w:p w:rsidR="0035318C" w:rsidRDefault="0035318C" w:rsidP="0035318C">
      <w:pPr>
        <w:pStyle w:val="NormalWeb"/>
        <w:spacing w:after="0" w:line="360" w:lineRule="auto"/>
        <w:jc w:val="both"/>
        <w:rPr>
          <w:color w:val="000000"/>
          <w:lang w:val="en-GB"/>
        </w:rPr>
      </w:pPr>
      <w:r>
        <w:rPr>
          <w:color w:val="000000"/>
          <w:lang w:val="en-GB"/>
        </w:rPr>
        <w:t>We also examined the effect for each difficulty level (Fig 9), for both the events.</w:t>
      </w:r>
    </w:p>
    <w:p w:rsidR="00650134" w:rsidRDefault="00650134" w:rsidP="0035318C">
      <w:pPr>
        <w:pStyle w:val="NormalWeb"/>
        <w:spacing w:after="0" w:line="360" w:lineRule="auto"/>
        <w:jc w:val="both"/>
        <w:rPr>
          <w:color w:val="000000"/>
          <w:lang w:val="en-GB"/>
        </w:rPr>
      </w:pPr>
    </w:p>
    <w:p w:rsidR="0035318C" w:rsidRDefault="0035318C" w:rsidP="0035318C">
      <w:pPr>
        <w:pStyle w:val="NormalWeb"/>
        <w:spacing w:after="0" w:line="360" w:lineRule="auto"/>
        <w:jc w:val="center"/>
        <w:rPr>
          <w:lang w:val="en-US"/>
        </w:rPr>
      </w:pPr>
      <w:r>
        <w:rPr>
          <w:noProof/>
          <w:lang w:val="en-GB" w:eastAsia="en-GB"/>
        </w:rPr>
        <w:drawing>
          <wp:inline distT="0" distB="0" distL="0" distR="0">
            <wp:extent cx="5563235" cy="1885804"/>
            <wp:effectExtent l="2540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578932" cy="1891125"/>
                    </a:xfrm>
                    <a:prstGeom prst="rect">
                      <a:avLst/>
                    </a:prstGeom>
                    <a:noFill/>
                    <a:ln w="9525">
                      <a:noFill/>
                      <a:miter lim="800000"/>
                      <a:headEnd/>
                      <a:tailEnd/>
                    </a:ln>
                  </pic:spPr>
                </pic:pic>
              </a:graphicData>
            </a:graphic>
          </wp:inline>
        </w:drawing>
      </w:r>
    </w:p>
    <w:p w:rsidR="0035318C" w:rsidRDefault="0035318C" w:rsidP="0035318C">
      <w:pPr>
        <w:pStyle w:val="NormalWeb"/>
        <w:spacing w:after="0" w:line="360" w:lineRule="auto"/>
        <w:jc w:val="center"/>
        <w:rPr>
          <w:lang w:val="en-US"/>
        </w:rPr>
      </w:pPr>
      <w:r>
        <w:rPr>
          <w:noProof/>
          <w:lang w:val="en-GB" w:eastAsia="en-GB"/>
        </w:rPr>
        <w:drawing>
          <wp:inline distT="0" distB="0" distL="0" distR="0">
            <wp:extent cx="5400000" cy="1642039"/>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400000" cy="1642039"/>
                    </a:xfrm>
                    <a:prstGeom prst="rect">
                      <a:avLst/>
                    </a:prstGeom>
                    <a:noFill/>
                    <a:ln w="9525">
                      <a:noFill/>
                      <a:miter lim="800000"/>
                      <a:headEnd/>
                      <a:tailEnd/>
                    </a:ln>
                  </pic:spPr>
                </pic:pic>
              </a:graphicData>
            </a:graphic>
          </wp:inline>
        </w:drawing>
      </w:r>
    </w:p>
    <w:p w:rsidR="0035318C" w:rsidRPr="0035318C" w:rsidRDefault="0035318C" w:rsidP="0035318C">
      <w:pPr>
        <w:pStyle w:val="NormalWeb"/>
        <w:spacing w:after="0" w:line="360" w:lineRule="auto"/>
        <w:jc w:val="both"/>
        <w:rPr>
          <w:lang w:val="en-US"/>
        </w:rPr>
      </w:pPr>
      <w:r>
        <w:rPr>
          <w:color w:val="000000"/>
          <w:sz w:val="18"/>
          <w:szCs w:val="18"/>
          <w:lang w:val="en-GB"/>
        </w:rPr>
        <w:t xml:space="preserve">Fig.9 </w:t>
      </w:r>
      <w:r w:rsidRPr="0035318C">
        <w:rPr>
          <w:color w:val="000000"/>
          <w:sz w:val="18"/>
          <w:szCs w:val="18"/>
          <w:lang w:val="en-US"/>
        </w:rPr>
        <w:t xml:space="preserve">Mean BOLD responses for visual areas V1–V3 for each of the four difficulty levels (1 is easiest, 4 is hardest), averaged across participants and hemispheres. Each difficulty level is divided into the first half of the trials and the second half, as in </w:t>
      </w:r>
      <w:r w:rsidRPr="0035318C">
        <w:rPr>
          <w:color w:val="000058"/>
          <w:sz w:val="18"/>
          <w:szCs w:val="18"/>
          <w:lang w:val="en-US"/>
        </w:rPr>
        <w:t>Fig. 5</w:t>
      </w:r>
      <w:r w:rsidRPr="0035318C">
        <w:rPr>
          <w:color w:val="000000"/>
          <w:sz w:val="18"/>
          <w:szCs w:val="18"/>
          <w:lang w:val="en-US"/>
        </w:rPr>
        <w:t>. Results for the pre-stimulus and post-stimulus time periods are shown separately. Error bars show ±1 SEM (n = 8).</w:t>
      </w:r>
    </w:p>
    <w:p w:rsidR="0035318C" w:rsidRPr="0035318C" w:rsidRDefault="0035318C" w:rsidP="0035318C">
      <w:pPr>
        <w:pStyle w:val="NormalWeb"/>
        <w:spacing w:after="0" w:line="360" w:lineRule="auto"/>
        <w:rPr>
          <w:lang w:val="en-US"/>
        </w:rPr>
      </w:pPr>
    </w:p>
    <w:p w:rsidR="006C77AC" w:rsidRDefault="0035318C" w:rsidP="00CC3A24">
      <w:pPr>
        <w:pStyle w:val="NormalWeb"/>
        <w:spacing w:after="0" w:line="360" w:lineRule="auto"/>
        <w:ind w:firstLine="708"/>
        <w:jc w:val="both"/>
        <w:rPr>
          <w:color w:val="000000"/>
          <w:lang w:val="en-GB"/>
        </w:rPr>
      </w:pPr>
      <w:r>
        <w:rPr>
          <w:color w:val="000000"/>
          <w:lang w:val="en-GB"/>
        </w:rPr>
        <w:t>Results show a decrease during time (first half vs. second half) for each difficulty level for both. A two way ANOVA (first-second half / difficulty levels) was performed for both events indicating that the change in activity was significant for stimulus response (F (1,384) = 29.3, p&lt;0.0001), as well as pre-stimulus response (F (1,384) = 6.9, p&lt;0.01).</w:t>
      </w:r>
    </w:p>
    <w:p w:rsidR="0035318C" w:rsidRPr="0035318C" w:rsidRDefault="006C77AC" w:rsidP="00CC3A24">
      <w:pPr>
        <w:pStyle w:val="NormalWeb"/>
        <w:spacing w:after="0" w:line="360" w:lineRule="auto"/>
        <w:ind w:firstLine="708"/>
        <w:jc w:val="both"/>
        <w:rPr>
          <w:lang w:val="en-US"/>
        </w:rPr>
      </w:pPr>
      <w:r>
        <w:rPr>
          <w:color w:val="000000"/>
          <w:lang w:val="en-GB"/>
        </w:rPr>
        <w:t>Fig. 9 shows a clear effect of task difficulty on prestimulus activity on later trials probably reflecting that subjects learn how to better allocate attention during the session.</w:t>
      </w:r>
    </w:p>
    <w:p w:rsidR="0035318C" w:rsidRDefault="0035318C" w:rsidP="0035318C">
      <w:pPr>
        <w:pStyle w:val="NormalWeb"/>
        <w:spacing w:after="0" w:line="360" w:lineRule="auto"/>
        <w:rPr>
          <w:lang w:val="en-GB"/>
        </w:rPr>
      </w:pPr>
    </w:p>
    <w:p w:rsidR="0035318C" w:rsidRDefault="0035318C" w:rsidP="000262BE">
      <w:pPr>
        <w:pStyle w:val="NormalWeb"/>
        <w:spacing w:after="0" w:line="360" w:lineRule="auto"/>
        <w:outlineLvl w:val="0"/>
        <w:rPr>
          <w:lang w:val="en-GB"/>
        </w:rPr>
      </w:pPr>
      <w:r>
        <w:rPr>
          <w:i/>
          <w:iCs/>
          <w:color w:val="000000"/>
          <w:lang w:val="en-GB"/>
        </w:rPr>
        <w:t>Trial by trial analysis</w:t>
      </w:r>
    </w:p>
    <w:p w:rsidR="0035318C" w:rsidRDefault="0035318C" w:rsidP="00CC3A24">
      <w:pPr>
        <w:pStyle w:val="NormalWeb"/>
        <w:spacing w:after="0" w:line="360" w:lineRule="auto"/>
        <w:ind w:firstLine="708"/>
        <w:jc w:val="both"/>
        <w:rPr>
          <w:color w:val="000000"/>
          <w:lang w:val="en-GB"/>
        </w:rPr>
      </w:pPr>
      <w:r>
        <w:rPr>
          <w:color w:val="000000"/>
          <w:lang w:val="en-GB"/>
        </w:rPr>
        <w:t>An additional analysis was performed in order to establish whether there was a correlation between the pre-stimulus and stimulus-related events on a trial by trial basis. If the two events are related in some way then a change in magnitude of the pre-stimulus activity from one trial to another would be associated with a similar change in the magnitude of the stimulus evoked response of the same trial. What we are expecting is, then, a positive correlation in the case that modulation of the pre-stimulus activity stimulus and response reflect a single process. We plotted data (Fig</w:t>
      </w:r>
      <w:r w:rsidR="004B7A29">
        <w:rPr>
          <w:color w:val="000000"/>
          <w:lang w:val="en-GB"/>
        </w:rPr>
        <w:t xml:space="preserve"> 10</w:t>
      </w:r>
      <w:r>
        <w:rPr>
          <w:color w:val="000000"/>
          <w:lang w:val="en-GB"/>
        </w:rPr>
        <w:t>) from all the subjects for each visual area. The results shows no correlation.</w:t>
      </w:r>
    </w:p>
    <w:p w:rsidR="0035318C" w:rsidRDefault="00E83115" w:rsidP="0035318C">
      <w:pPr>
        <w:pStyle w:val="NormalWeb"/>
        <w:spacing w:after="0" w:line="360" w:lineRule="auto"/>
        <w:jc w:val="center"/>
      </w:pPr>
      <w:r>
        <w:rPr>
          <w:noProof/>
          <w:lang w:val="en-GB" w:eastAsia="en-GB"/>
        </w:rPr>
        <w:drawing>
          <wp:inline distT="0" distB="0" distL="0" distR="0">
            <wp:extent cx="5760085" cy="4059555"/>
            <wp:effectExtent l="25400" t="0" r="5715" b="0"/>
            <wp:docPr id="16" name="Picture 15" descr="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16"/>
                    <a:stretch>
                      <a:fillRect/>
                    </a:stretch>
                  </pic:blipFill>
                  <pic:spPr>
                    <a:xfrm>
                      <a:off x="0" y="0"/>
                      <a:ext cx="5760085" cy="4059555"/>
                    </a:xfrm>
                    <a:prstGeom prst="rect">
                      <a:avLst/>
                    </a:prstGeom>
                  </pic:spPr>
                </pic:pic>
              </a:graphicData>
            </a:graphic>
          </wp:inline>
        </w:drawing>
      </w:r>
    </w:p>
    <w:p w:rsidR="0035318C" w:rsidRDefault="0035318C" w:rsidP="000262BE">
      <w:pPr>
        <w:pStyle w:val="NormalWeb"/>
        <w:spacing w:after="0" w:line="360" w:lineRule="auto"/>
        <w:outlineLvl w:val="0"/>
        <w:rPr>
          <w:lang w:val="en-GB"/>
        </w:rPr>
      </w:pPr>
      <w:r>
        <w:rPr>
          <w:sz w:val="18"/>
          <w:szCs w:val="18"/>
          <w:lang w:val="en-GB"/>
        </w:rPr>
        <w:t>Fig. 10 Trial by trial analysis for each visual area.</w:t>
      </w:r>
    </w:p>
    <w:p w:rsidR="0035318C" w:rsidRDefault="0035318C" w:rsidP="0035318C">
      <w:pPr>
        <w:pStyle w:val="NormalWeb"/>
        <w:spacing w:after="0" w:line="360" w:lineRule="auto"/>
        <w:rPr>
          <w:lang w:val="en-GB"/>
        </w:rPr>
      </w:pPr>
    </w:p>
    <w:p w:rsidR="0035318C" w:rsidRDefault="0035318C" w:rsidP="000262BE">
      <w:pPr>
        <w:pStyle w:val="NormalWeb"/>
        <w:spacing w:after="0" w:line="360" w:lineRule="auto"/>
        <w:outlineLvl w:val="0"/>
        <w:rPr>
          <w:lang w:val="en-GB"/>
        </w:rPr>
      </w:pPr>
      <w:r>
        <w:rPr>
          <w:color w:val="000000"/>
          <w:lang w:val="en-GB"/>
        </w:rPr>
        <w:t>3.2.4 Discussion</w:t>
      </w:r>
    </w:p>
    <w:p w:rsidR="0035318C" w:rsidRDefault="0035318C" w:rsidP="0035318C">
      <w:pPr>
        <w:pStyle w:val="NormalWeb"/>
        <w:spacing w:after="0" w:line="360" w:lineRule="auto"/>
        <w:rPr>
          <w:lang w:val="en-GB"/>
        </w:rPr>
      </w:pPr>
    </w:p>
    <w:p w:rsidR="00561484" w:rsidRDefault="0035318C" w:rsidP="00CC3A24">
      <w:pPr>
        <w:pStyle w:val="NormalWeb"/>
        <w:spacing w:after="0" w:line="360" w:lineRule="auto"/>
        <w:ind w:firstLine="708"/>
        <w:jc w:val="both"/>
        <w:rPr>
          <w:color w:val="000000"/>
          <w:lang w:val="en-GB"/>
        </w:rPr>
      </w:pPr>
      <w:r>
        <w:rPr>
          <w:color w:val="000000"/>
          <w:lang w:val="en-GB"/>
        </w:rPr>
        <w:t xml:space="preserve">In this experiment we tried to examine the hypothesis that pre-stimulus activity, which is the activity that arises in the cortex when a subject is cued to a particular location in the visual field but without any visual stimulation, reflects the same modulatory signal that causes the increase in magnitude of the stimulus evoked response that is well known in the literature to occur when a subject is directing attention to it. We hypothesized that increasing the difficulty level of the task would cause an increase of attentional load, resulting in increased attentional modulation and hence an increased magnitude of stimulus-evoked response. Thus, if the two modulations are part of the same process, the pre-stimulus activity at the cue onset should behave in the same way. Unfortunately increasing the difficulty of the task did not in fact cause an increase in the magnitude of the stimulus evoked response. Thus the interpretation of the pre-stimulus response became difficult. A possible explanation for this is that the four different levels of difficulty proved too many for the subject, making him/her confused about the level of attention to apply in each trial. </w:t>
      </w:r>
      <w:r w:rsidR="00F606B6">
        <w:rPr>
          <w:color w:val="000000"/>
          <w:lang w:val="en-US"/>
        </w:rPr>
        <w:t>However without any significant difference between difficulty levels it is impossible to address whether pre-stimulus and stimulus evoked responses vary with difficulty in the same way</w:t>
      </w:r>
      <w:r>
        <w:rPr>
          <w:color w:val="000000"/>
          <w:lang w:val="en-GB"/>
        </w:rPr>
        <w:t>. Therefore we tried to split our data into the first half of the runs and the second half to see whether there was any change in time that could be compared across the two events. The idea here is that if there is a relation between the two types of attentional modulation, then any change in time for pre-stimulus activity will follow the change in time for stimulus evoked response. The results show that in both cases there was a significant reduction in activity over time in all visual areas analysed. This suggests that a reduction in time for the activity evoked by the cue (attentional load) is correlated with a decrease in activity for the stimulus evoked response, leading to the conclusion that those two events are likely to be driven by the same process. Alternatively it is possible that time is affecting the two events and the processes that control them independently but in the same way. We then decided to analyze the data with a trial by trial analysis. If the relationship we hypothesized is true, then on a trial by trial basis, a correlation would arise. The results we were expecting were that a change in magnitude of the pre-stimulus activity from one trial to another would be associated with a similar change in the magnitude of stimulus evoked responses of the same trial. The analysis shows no significant correlation for any visual area. At first glance this would suggest that the two attentional modulation processes are independent, as suggested by the physiology (Luck et al., 1997). Alternatively it might be that the data might be too noisy to be analysed in this way. Taken together, the results of this experiment make it difficult to arrive to any certain conclusion. Moreover, the fact that the manipulation of difficulty did not work well suggests that the subjects might have been confused about the task itself, leading to data that are difficult to interpret.</w:t>
      </w:r>
    </w:p>
    <w:p w:rsidR="00EB559F" w:rsidRPr="00650134" w:rsidRDefault="0035318C" w:rsidP="00EB559F">
      <w:pPr>
        <w:pStyle w:val="NormalWeb"/>
        <w:pageBreakBefore/>
        <w:spacing w:after="0" w:line="360" w:lineRule="auto"/>
        <w:outlineLvl w:val="0"/>
        <w:rPr>
          <w:b/>
          <w:lang w:val="en-GB"/>
        </w:rPr>
      </w:pPr>
      <w:r w:rsidRPr="00650134">
        <w:rPr>
          <w:b/>
          <w:color w:val="000000"/>
          <w:lang w:val="en-GB"/>
        </w:rPr>
        <w:t>Chapter 3.3 Experiment 2</w:t>
      </w:r>
      <w:r w:rsidR="00EB559F">
        <w:rPr>
          <w:b/>
          <w:color w:val="000000"/>
          <w:lang w:val="en-GB"/>
        </w:rPr>
        <w:t xml:space="preserve"> - </w:t>
      </w:r>
      <w:r w:rsidR="00EB559F">
        <w:rPr>
          <w:b/>
          <w:lang w:val="en-GB"/>
        </w:rPr>
        <w:t>Dissociating Prestimulus activity and stimulus evoked enhanced response (2).</w:t>
      </w:r>
    </w:p>
    <w:p w:rsidR="0035318C" w:rsidRPr="00650134" w:rsidRDefault="0035318C" w:rsidP="000262BE">
      <w:pPr>
        <w:pStyle w:val="NormalWeb"/>
        <w:spacing w:after="0" w:line="360" w:lineRule="auto"/>
        <w:jc w:val="both"/>
        <w:outlineLvl w:val="0"/>
        <w:rPr>
          <w:b/>
          <w:lang w:val="en-GB"/>
        </w:rPr>
      </w:pPr>
    </w:p>
    <w:p w:rsidR="0035318C" w:rsidRPr="00650134" w:rsidRDefault="0035318C" w:rsidP="000262BE">
      <w:pPr>
        <w:pStyle w:val="NormalWeb"/>
        <w:spacing w:after="0" w:line="360" w:lineRule="auto"/>
        <w:outlineLvl w:val="0"/>
        <w:rPr>
          <w:b/>
          <w:lang w:val="en-GB"/>
        </w:rPr>
      </w:pPr>
      <w:r w:rsidRPr="00650134">
        <w:rPr>
          <w:b/>
          <w:lang w:val="en-GB"/>
        </w:rPr>
        <w:t>3.3.1 Introduction</w:t>
      </w:r>
    </w:p>
    <w:p w:rsidR="0035318C" w:rsidRDefault="0035318C" w:rsidP="0035318C">
      <w:pPr>
        <w:pStyle w:val="NormalWeb"/>
        <w:spacing w:after="0" w:line="360" w:lineRule="auto"/>
        <w:rPr>
          <w:lang w:val="en-GB"/>
        </w:rPr>
      </w:pPr>
    </w:p>
    <w:p w:rsidR="0035318C" w:rsidRPr="0035318C" w:rsidRDefault="0035318C" w:rsidP="00CC3A24">
      <w:pPr>
        <w:pStyle w:val="NormalWeb"/>
        <w:spacing w:after="0" w:line="360" w:lineRule="auto"/>
        <w:ind w:firstLine="708"/>
        <w:jc w:val="both"/>
        <w:rPr>
          <w:lang w:val="en-US"/>
        </w:rPr>
      </w:pPr>
      <w:r>
        <w:rPr>
          <w:rFonts w:ascii="Times-Roman" w:hAnsi="Times-Roman"/>
          <w:color w:val="141413"/>
          <w:lang w:val="en-GB"/>
        </w:rPr>
        <w:t>BOLD response</w:t>
      </w:r>
      <w:r w:rsidR="00EB559F">
        <w:rPr>
          <w:rFonts w:ascii="Times-Roman" w:hAnsi="Times-Roman"/>
          <w:color w:val="141413"/>
          <w:lang w:val="en-GB"/>
        </w:rPr>
        <w:t>s from experiment one</w:t>
      </w:r>
      <w:r>
        <w:rPr>
          <w:rFonts w:ascii="Times-Roman" w:hAnsi="Times-Roman"/>
          <w:color w:val="141413"/>
          <w:lang w:val="en-GB"/>
        </w:rPr>
        <w:t xml:space="preserve"> did not vary with task difficulty and so did not provide a good basis for the trial by trial analysis. We then decided on this basis to try to modify the task structure in order to provide a better test of the hypothesis. </w:t>
      </w:r>
    </w:p>
    <w:p w:rsidR="0035318C" w:rsidRPr="0035318C" w:rsidRDefault="0035318C" w:rsidP="00CC3A24">
      <w:pPr>
        <w:pStyle w:val="NormalWeb"/>
        <w:spacing w:after="0" w:line="360" w:lineRule="auto"/>
        <w:ind w:firstLine="708"/>
        <w:jc w:val="both"/>
        <w:rPr>
          <w:lang w:val="en-US"/>
        </w:rPr>
      </w:pPr>
      <w:r>
        <w:rPr>
          <w:rFonts w:ascii="Times-Roman" w:hAnsi="Times-Roman"/>
          <w:color w:val="141413"/>
          <w:lang w:val="en-GB"/>
        </w:rPr>
        <w:t xml:space="preserve">The fact that we used 4 different levels of difficulty might have confused the subject as to how much attention to apply to each of the four levels. Therefore we decided to make it simpler, by dividing our trials into ‘easy’ or ‘hard’ only. In this way we are expecting the subject to increase significantly their attentional effort in the hard trials compared to the easy ones, and that may lead to a significant difference for the stimulus evoked responses. We will be then able to compare whether the same thing also happens for the pre-stimulus response. In addition we add a location cue, informing the subject where the attended stimulus will be. This enables us to insert invalid trials. </w:t>
      </w:r>
      <w:r w:rsidR="00EB559F">
        <w:rPr>
          <w:rFonts w:ascii="Times-Roman" w:hAnsi="Times-Roman"/>
          <w:color w:val="141413"/>
          <w:lang w:val="en-GB"/>
        </w:rPr>
        <w:t>In literature studies have shown that there</w:t>
      </w:r>
      <w:r w:rsidR="00EB559F">
        <w:rPr>
          <w:rFonts w:ascii="Times-Roman" w:hAnsi="Times-Roman" w:hint="eastAsia"/>
          <w:color w:val="141413"/>
          <w:lang w:val="en-GB"/>
        </w:rPr>
        <w:t>’</w:t>
      </w:r>
      <w:r w:rsidR="00EB559F">
        <w:rPr>
          <w:rFonts w:ascii="Times-Roman" w:hAnsi="Times-Roman"/>
          <w:color w:val="141413"/>
          <w:lang w:val="en-GB"/>
        </w:rPr>
        <w:t xml:space="preserve">s a bigger response to valid vs invalid regions of the visual field (Hopfinger et al, 2005) </w:t>
      </w:r>
      <w:r>
        <w:rPr>
          <w:rFonts w:ascii="Times-Roman" w:hAnsi="Times-Roman"/>
          <w:color w:val="141413"/>
          <w:lang w:val="en-GB"/>
        </w:rPr>
        <w:t>The hypothesis was that if the two events are part of the same process, then we must expect that stimulus evoked responses in invalid trials would be significantly weaker than in valid trials, because pre-stimulus activity at the location of the stimulus is missing or weaker.</w:t>
      </w:r>
    </w:p>
    <w:p w:rsidR="0035318C" w:rsidRDefault="0035318C" w:rsidP="0035318C">
      <w:pPr>
        <w:pStyle w:val="NormalWeb"/>
        <w:spacing w:after="0" w:line="360" w:lineRule="auto"/>
        <w:rPr>
          <w:lang w:val="en-GB"/>
        </w:rPr>
      </w:pPr>
    </w:p>
    <w:p w:rsidR="0035318C" w:rsidRDefault="0035318C" w:rsidP="000262BE">
      <w:pPr>
        <w:pStyle w:val="NormalWeb"/>
        <w:spacing w:after="0" w:line="360" w:lineRule="auto"/>
        <w:outlineLvl w:val="0"/>
        <w:rPr>
          <w:lang w:val="en-GB"/>
        </w:rPr>
      </w:pPr>
      <w:r>
        <w:rPr>
          <w:color w:val="000000"/>
          <w:lang w:val="en-GB"/>
        </w:rPr>
        <w:t>3.3.2 Methods</w:t>
      </w:r>
    </w:p>
    <w:p w:rsidR="0035318C" w:rsidRDefault="0035318C" w:rsidP="0035318C">
      <w:pPr>
        <w:pStyle w:val="NormalWeb"/>
        <w:spacing w:after="0" w:line="360" w:lineRule="auto"/>
        <w:rPr>
          <w:lang w:val="en-GB"/>
        </w:rPr>
      </w:pPr>
    </w:p>
    <w:p w:rsidR="0035318C" w:rsidRDefault="00EB559F" w:rsidP="00CC3A24">
      <w:pPr>
        <w:pStyle w:val="NormalWeb"/>
        <w:spacing w:after="0" w:line="360" w:lineRule="auto"/>
        <w:ind w:firstLine="708"/>
        <w:jc w:val="both"/>
        <w:rPr>
          <w:color w:val="000000"/>
          <w:lang w:val="en-GB"/>
        </w:rPr>
      </w:pPr>
      <w:r>
        <w:rPr>
          <w:color w:val="000000"/>
          <w:lang w:val="en-GB"/>
        </w:rPr>
        <w:t xml:space="preserve">8 subjects took part at the experiment (6 male 2 female, </w:t>
      </w:r>
      <w:r w:rsidR="00D567AA">
        <w:rPr>
          <w:color w:val="000000"/>
          <w:lang w:val="en-GB"/>
        </w:rPr>
        <w:t>28 years +/- 4)</w:t>
      </w:r>
      <w:r>
        <w:rPr>
          <w:color w:val="000000"/>
          <w:lang w:val="en-GB"/>
        </w:rPr>
        <w:t xml:space="preserve"> </w:t>
      </w:r>
      <w:r w:rsidR="0035318C">
        <w:rPr>
          <w:color w:val="000000"/>
          <w:lang w:val="en-GB"/>
        </w:rPr>
        <w:t>The task involved orientation discrimination. Each trial consisted of a cue followed by a pair of grating stimuli. The cue was displayed for 500 ms. It informed the participant of the difficulty of the trial by means of an E (easy) or an H (hard) displayed at the fixation point plus two little arrows pointing to two of the four quadrants (up right and down left, or up left and down right). The cue was always valid for the difficulty level. For location, it was valid (indicated the two locations where the two stimuli would be presented) on 75% of trials and invalid (indicated the other two locations) on 25% of trials. The stimulus was presented for 1000 ms and was composed of two counterphasing Gabors (0.25 c/deg, 3 Hz, SD 1deg, truncated at 3 deg radius, peak contrast 100%) presented simultaneously at either the cued or the uncued locations. The Gabors had slightly different orientations and the task was to identify whether the orientation of the left Gabor was rotated clockwise or counterclockwise compared with the right one. The reference Gabor (right) could appear in any of seven different, equally spaced orientations (30-60 degrees where 0 is vertical, steps of 5 degrees). The comparison Gabor (left) differed from the reference Gabor by ± 2 or 8 degrees, in accordance with the difficulty cue. No feedback was provided. The difficulty level of the task was varied randomly from trial to trial, with equal probability. A different trial order was used for each run.</w:t>
      </w:r>
    </w:p>
    <w:p w:rsidR="0035318C" w:rsidRDefault="0035318C" w:rsidP="0035318C">
      <w:pPr>
        <w:pStyle w:val="NormalWeb"/>
        <w:spacing w:after="0" w:line="360" w:lineRule="auto"/>
        <w:jc w:val="center"/>
      </w:pPr>
      <w:r>
        <w:rPr>
          <w:noProof/>
          <w:lang w:val="en-GB" w:eastAsia="en-GB"/>
        </w:rPr>
        <w:drawing>
          <wp:inline distT="0" distB="0" distL="0" distR="0">
            <wp:extent cx="3240000" cy="2901127"/>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240000" cy="2901127"/>
                    </a:xfrm>
                    <a:prstGeom prst="rect">
                      <a:avLst/>
                    </a:prstGeom>
                    <a:noFill/>
                    <a:ln w="9525">
                      <a:noFill/>
                      <a:miter lim="800000"/>
                      <a:headEnd/>
                      <a:tailEnd/>
                    </a:ln>
                  </pic:spPr>
                </pic:pic>
              </a:graphicData>
            </a:graphic>
          </wp:inline>
        </w:drawing>
      </w:r>
    </w:p>
    <w:p w:rsidR="0035318C" w:rsidRDefault="00F52D31" w:rsidP="0035318C">
      <w:pPr>
        <w:pStyle w:val="NormalWeb"/>
        <w:spacing w:after="0" w:line="360" w:lineRule="auto"/>
        <w:rPr>
          <w:lang w:val="en-GB"/>
        </w:rPr>
      </w:pPr>
      <w:r>
        <w:rPr>
          <w:color w:val="000000"/>
          <w:sz w:val="18"/>
          <w:szCs w:val="18"/>
          <w:lang w:val="en-GB"/>
        </w:rPr>
        <w:t>Fig 11</w:t>
      </w:r>
      <w:r w:rsidR="0035318C">
        <w:rPr>
          <w:color w:val="000000"/>
          <w:sz w:val="18"/>
          <w:szCs w:val="18"/>
          <w:lang w:val="en-GB"/>
        </w:rPr>
        <w:t xml:space="preserve"> . Scheme of one trial.</w:t>
      </w:r>
    </w:p>
    <w:p w:rsidR="0035318C" w:rsidRPr="0035318C" w:rsidRDefault="0035318C" w:rsidP="00CC3A24">
      <w:pPr>
        <w:pStyle w:val="NormalWeb"/>
        <w:spacing w:after="0" w:line="360" w:lineRule="auto"/>
        <w:ind w:firstLine="708"/>
        <w:jc w:val="both"/>
        <w:rPr>
          <w:lang w:val="en-US"/>
        </w:rPr>
      </w:pPr>
      <w:r>
        <w:rPr>
          <w:color w:val="000000"/>
          <w:lang w:val="en-GB"/>
        </w:rPr>
        <w:t>Between the difficulty cue and the stimulus the screen was blank, apart from the fixation square, for a random time (rectangular probability distribution between 6 and 9 sec for 75% of the trials and between 3 and 6 sec for the remaining 25% of the trials; average 6.75s). This arrangement gives a long enough mean interval to allow separate detection of responses to the cue and stimulus, while discouraging the subject from ignoring the first few seconds and attending only towards the end of the interval. After the stimulus presentation, the fixation square turned blue for two seconds, indicating that the subject should respond. Subjects had to respond whether the left Gabor was oriented more clockwise or more counter-clockwise than the right, by pressing one of two buttons.</w:t>
      </w:r>
    </w:p>
    <w:p w:rsidR="0035318C" w:rsidRPr="0035318C" w:rsidRDefault="0035318C" w:rsidP="00CC3A24">
      <w:pPr>
        <w:pStyle w:val="NormalWeb"/>
        <w:spacing w:after="0" w:line="360" w:lineRule="auto"/>
        <w:ind w:firstLine="708"/>
        <w:jc w:val="both"/>
        <w:rPr>
          <w:lang w:val="en-US"/>
        </w:rPr>
      </w:pPr>
      <w:r>
        <w:rPr>
          <w:color w:val="000000"/>
          <w:lang w:val="en-GB"/>
        </w:rPr>
        <w:t xml:space="preserve">Each run contained 18 trials separated by an inter-trial interval in which the screen was uniform apart from the fixation square. The interval varied between 4 and 12 sec with a Poisson probability distribution (see Hagberg et al., 2001). The mean interval interval was 6 sec, the maximum and minimum were 12 sec and 4 sec and the interval varied in steps of 0.5sec. Eight runs were conducted, each using a different random </w:t>
      </w:r>
      <w:r w:rsidRPr="0035318C">
        <w:rPr>
          <w:lang w:val="en-US"/>
        </w:rPr>
        <w:t>sequence of trials, with short breaks between runs. The scan duration was approximately 45 minutes</w:t>
      </w:r>
      <w:r>
        <w:rPr>
          <w:color w:val="000000"/>
          <w:lang w:val="en-GB"/>
        </w:rPr>
        <w:t xml:space="preserve">, including the anatomical scan. Subjects were instructed to maintain fixation throughout each run. </w:t>
      </w:r>
    </w:p>
    <w:p w:rsidR="0035318C" w:rsidRDefault="0035318C" w:rsidP="0035318C">
      <w:pPr>
        <w:pStyle w:val="NormalWeb"/>
        <w:spacing w:after="0" w:line="360" w:lineRule="auto"/>
        <w:rPr>
          <w:lang w:val="en-GB"/>
        </w:rPr>
      </w:pPr>
    </w:p>
    <w:p w:rsidR="0035318C" w:rsidRDefault="0035318C" w:rsidP="000262BE">
      <w:pPr>
        <w:pStyle w:val="NormalWeb"/>
        <w:spacing w:after="0" w:line="360" w:lineRule="auto"/>
        <w:outlineLvl w:val="0"/>
        <w:rPr>
          <w:lang w:val="en-GB"/>
        </w:rPr>
      </w:pPr>
      <w:r>
        <w:rPr>
          <w:i/>
          <w:iCs/>
          <w:color w:val="000000"/>
          <w:lang w:val="en-GB"/>
        </w:rPr>
        <w:t>Analysis</w:t>
      </w:r>
    </w:p>
    <w:p w:rsidR="0035318C" w:rsidRPr="0035318C" w:rsidRDefault="0035318C" w:rsidP="00CC3A24">
      <w:pPr>
        <w:pStyle w:val="NormalWeb"/>
        <w:spacing w:after="0" w:line="360" w:lineRule="auto"/>
        <w:ind w:firstLine="708"/>
        <w:jc w:val="both"/>
        <w:rPr>
          <w:lang w:val="en-US"/>
        </w:rPr>
      </w:pPr>
      <w:r>
        <w:rPr>
          <w:color w:val="000000"/>
          <w:lang w:val="en-GB"/>
        </w:rPr>
        <w:t>Separate regressors were used for the cue and the task and for each combination of the 2 levels of difficulty and the 2 different locations cued (8 regressors of interest in total). Each stimulus presentation was modelled as a boxcar of 1 s duration and each pre-stimulus period, commencing with a difficulty cue presentation, was modelled as a boxcar of 0.5 s duration, convolved in each case with a canonical haemodynamic response function.</w:t>
      </w:r>
    </w:p>
    <w:p w:rsidR="0035318C" w:rsidRPr="0035318C" w:rsidRDefault="0035318C" w:rsidP="00CC3A24">
      <w:pPr>
        <w:pStyle w:val="NormalWeb"/>
        <w:spacing w:after="0" w:line="360" w:lineRule="auto"/>
        <w:ind w:firstLine="708"/>
        <w:jc w:val="both"/>
        <w:rPr>
          <w:lang w:val="en-US"/>
        </w:rPr>
      </w:pPr>
      <w:r>
        <w:rPr>
          <w:color w:val="000000"/>
          <w:lang w:val="en-GB"/>
        </w:rPr>
        <w:t>Regions of interest (ROI) were defined based on the activations due to the stimulus presentation in the main experiment (average of all 8 runs). Stimulus-related activations were used because they were larger than pre-stimulus activations. ROIs so defined are illustrated for one hemisphere in Fig</w:t>
      </w:r>
      <w:r>
        <w:rPr>
          <w:sz w:val="18"/>
          <w:szCs w:val="18"/>
          <w:lang w:val="en-GB"/>
        </w:rPr>
        <w:t xml:space="preserve"> </w:t>
      </w:r>
      <w:r>
        <w:rPr>
          <w:lang w:val="en-GB"/>
        </w:rPr>
        <w:t>12</w:t>
      </w:r>
      <w:r>
        <w:rPr>
          <w:color w:val="000000"/>
          <w:lang w:val="en-GB"/>
        </w:rPr>
        <w:t xml:space="preserve">. Stimuli in each quadrant elicit activity in a discrete patch in V1, in another patch in V2, in the dorsal or ventral representation, depending on upper or lower quadrant, and another patch in V3d or V3v. These are indicated in the figure. </w:t>
      </w:r>
    </w:p>
    <w:p w:rsidR="0035318C" w:rsidRDefault="0035318C" w:rsidP="00CC3A24">
      <w:pPr>
        <w:pStyle w:val="NormalWeb"/>
        <w:spacing w:after="0" w:line="360" w:lineRule="auto"/>
        <w:ind w:firstLine="708"/>
        <w:jc w:val="both"/>
        <w:rPr>
          <w:color w:val="000000"/>
          <w:lang w:val="en-GB"/>
        </w:rPr>
      </w:pPr>
      <w:r>
        <w:rPr>
          <w:color w:val="000000"/>
          <w:lang w:val="en-GB"/>
        </w:rPr>
        <w:t>Thus, in each of the 3 visual areas there were 4 ROIs, 2 per hemisphere, yielding 12 ROIs in total. In each trial, activity was averaged across ROIs corresponding to the locations of the stimuli presented on that trial. Activations were then averaged across trials that were of the same difficulty (easy or hard) but used different quadrants.</w:t>
      </w:r>
    </w:p>
    <w:p w:rsidR="0035318C" w:rsidRDefault="0035318C" w:rsidP="0035318C">
      <w:pPr>
        <w:pStyle w:val="NormalWeb"/>
        <w:spacing w:after="0" w:line="360" w:lineRule="auto"/>
        <w:jc w:val="center"/>
        <w:rPr>
          <w:lang w:val="en-US"/>
        </w:rPr>
      </w:pPr>
      <w:r>
        <w:rPr>
          <w:noProof/>
          <w:lang w:val="en-GB" w:eastAsia="en-GB"/>
        </w:rPr>
        <w:drawing>
          <wp:inline distT="0" distB="0" distL="0" distR="0">
            <wp:extent cx="5400000" cy="2634261"/>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400000" cy="2634261"/>
                    </a:xfrm>
                    <a:prstGeom prst="rect">
                      <a:avLst/>
                    </a:prstGeom>
                    <a:noFill/>
                    <a:ln w="9525">
                      <a:noFill/>
                      <a:miter lim="800000"/>
                      <a:headEnd/>
                      <a:tailEnd/>
                    </a:ln>
                  </pic:spPr>
                </pic:pic>
              </a:graphicData>
            </a:graphic>
          </wp:inline>
        </w:drawing>
      </w:r>
    </w:p>
    <w:p w:rsidR="0035318C" w:rsidRDefault="0035318C" w:rsidP="0035318C">
      <w:pPr>
        <w:pStyle w:val="NormalWeb"/>
        <w:spacing w:after="0" w:line="360" w:lineRule="auto"/>
        <w:jc w:val="both"/>
        <w:rPr>
          <w:color w:val="000000"/>
          <w:sz w:val="18"/>
          <w:szCs w:val="18"/>
          <w:lang w:val="en-GB"/>
        </w:rPr>
      </w:pPr>
      <w:r>
        <w:rPr>
          <w:color w:val="000000"/>
          <w:sz w:val="18"/>
          <w:szCs w:val="18"/>
          <w:lang w:val="en-GB"/>
        </w:rPr>
        <w:t>Fig. 12 (a)Flattened representation of the occipital cortex of one hemisphere showing retinotopic areas (V1–V3). Stimulus-related BOLD activation is superimposed as a colour overlay, averaged across all 8 runs in the main experiment. The activation largely excludes the fovea and far periphery, reflecting the location of the stimulus. The ROIs used for quantitative analysis are shown. (b) Pre-stimulus BOLD activation from the same dataset. The activity that is weaker than the stimulus-related activity, as expected, but has a very similar spatial extent.</w:t>
      </w:r>
    </w:p>
    <w:p w:rsidR="00150B99" w:rsidRDefault="00150B99" w:rsidP="0035318C">
      <w:pPr>
        <w:pStyle w:val="NormalWeb"/>
        <w:spacing w:after="0" w:line="360" w:lineRule="auto"/>
        <w:jc w:val="both"/>
        <w:rPr>
          <w:lang w:val="en-GB"/>
        </w:rPr>
      </w:pPr>
    </w:p>
    <w:p w:rsidR="0035318C" w:rsidRDefault="0035318C" w:rsidP="000262BE">
      <w:pPr>
        <w:pStyle w:val="NormalWeb"/>
        <w:spacing w:after="0" w:line="360" w:lineRule="auto"/>
        <w:outlineLvl w:val="0"/>
        <w:rPr>
          <w:lang w:val="en-GB"/>
        </w:rPr>
      </w:pPr>
      <w:r>
        <w:rPr>
          <w:color w:val="000000"/>
          <w:lang w:val="en-GB"/>
        </w:rPr>
        <w:t>3.3.3 Results</w:t>
      </w:r>
    </w:p>
    <w:p w:rsidR="0035318C" w:rsidRDefault="0035318C" w:rsidP="0035318C">
      <w:pPr>
        <w:pStyle w:val="NormalWeb"/>
        <w:spacing w:after="0" w:line="360" w:lineRule="auto"/>
        <w:rPr>
          <w:lang w:val="en-GB"/>
        </w:rPr>
      </w:pPr>
    </w:p>
    <w:p w:rsidR="0035318C" w:rsidRDefault="0035318C" w:rsidP="000262BE">
      <w:pPr>
        <w:pStyle w:val="NormalWeb"/>
        <w:spacing w:after="0" w:line="360" w:lineRule="auto"/>
        <w:outlineLvl w:val="0"/>
        <w:rPr>
          <w:lang w:val="en-GB"/>
        </w:rPr>
      </w:pPr>
      <w:r>
        <w:rPr>
          <w:i/>
          <w:iCs/>
          <w:color w:val="000000"/>
          <w:lang w:val="en-GB"/>
        </w:rPr>
        <w:t>Performance data</w:t>
      </w:r>
    </w:p>
    <w:p w:rsidR="0035318C" w:rsidRDefault="0035318C" w:rsidP="00CC3A24">
      <w:pPr>
        <w:pStyle w:val="NormalWeb"/>
        <w:spacing w:after="0" w:line="360" w:lineRule="auto"/>
        <w:ind w:firstLine="708"/>
        <w:jc w:val="both"/>
        <w:rPr>
          <w:color w:val="000000"/>
          <w:lang w:val="en-GB"/>
        </w:rPr>
      </w:pPr>
      <w:r>
        <w:rPr>
          <w:color w:val="000000"/>
          <w:lang w:val="en-GB"/>
        </w:rPr>
        <w:t xml:space="preserve">The behavioural data are summarized in fig. 13. Data are averaged across all participants. Performance is around 85% at the easiest difficulty level and about 60% at the hardest level (chance is 50%) indicating that the difficulty levels were appropriate. </w:t>
      </w:r>
    </w:p>
    <w:p w:rsidR="0035318C" w:rsidRDefault="0035318C" w:rsidP="00561484">
      <w:pPr>
        <w:pStyle w:val="NormalWeb"/>
        <w:spacing w:after="0" w:line="360" w:lineRule="auto"/>
        <w:jc w:val="center"/>
        <w:rPr>
          <w:lang w:val="en-US"/>
        </w:rPr>
      </w:pPr>
      <w:r>
        <w:rPr>
          <w:noProof/>
          <w:lang w:val="en-GB" w:eastAsia="en-GB"/>
        </w:rPr>
        <w:drawing>
          <wp:inline distT="0" distB="0" distL="0" distR="0">
            <wp:extent cx="2322963" cy="1405225"/>
            <wp:effectExtent l="19050" t="0" r="1137"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322963" cy="1405225"/>
                    </a:xfrm>
                    <a:prstGeom prst="rect">
                      <a:avLst/>
                    </a:prstGeom>
                    <a:noFill/>
                    <a:ln w="9525">
                      <a:noFill/>
                      <a:miter lim="800000"/>
                      <a:headEnd/>
                      <a:tailEnd/>
                    </a:ln>
                  </pic:spPr>
                </pic:pic>
              </a:graphicData>
            </a:graphic>
          </wp:inline>
        </w:drawing>
      </w:r>
    </w:p>
    <w:p w:rsidR="00867A47" w:rsidRDefault="00867A47" w:rsidP="000262BE">
      <w:pPr>
        <w:pStyle w:val="NormalWeb"/>
        <w:spacing w:after="0" w:line="360" w:lineRule="auto"/>
        <w:outlineLvl w:val="0"/>
        <w:rPr>
          <w:lang w:val="en-GB"/>
        </w:rPr>
      </w:pPr>
      <w:r>
        <w:rPr>
          <w:color w:val="000000"/>
          <w:sz w:val="18"/>
          <w:szCs w:val="18"/>
          <w:lang w:val="en-GB"/>
        </w:rPr>
        <w:t>Fig.13 Performances for the two difficulty levels averaged for all participants</w:t>
      </w:r>
    </w:p>
    <w:p w:rsidR="00867A47" w:rsidRDefault="00867A47" w:rsidP="00867A47">
      <w:pPr>
        <w:pStyle w:val="NormalWeb"/>
        <w:spacing w:after="0" w:line="360" w:lineRule="auto"/>
        <w:rPr>
          <w:lang w:val="en-GB"/>
        </w:rPr>
      </w:pPr>
      <w:r>
        <w:rPr>
          <w:i/>
          <w:iCs/>
          <w:color w:val="000000"/>
          <w:lang w:val="en-GB"/>
        </w:rPr>
        <w:t>Imaging data</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i/>
          <w:iCs/>
          <w:color w:val="000000"/>
          <w:lang w:val="en-GB"/>
        </w:rPr>
        <w:t>Response magnitude</w:t>
      </w:r>
    </w:p>
    <w:p w:rsidR="00867A47" w:rsidRDefault="00867A47" w:rsidP="00CC3A24">
      <w:pPr>
        <w:pStyle w:val="NormalWeb"/>
        <w:spacing w:after="0" w:line="360" w:lineRule="auto"/>
        <w:ind w:firstLine="708"/>
        <w:jc w:val="both"/>
        <w:rPr>
          <w:color w:val="000000"/>
          <w:lang w:val="en-GB"/>
        </w:rPr>
      </w:pPr>
      <w:r>
        <w:rPr>
          <w:color w:val="000000"/>
          <w:lang w:val="en-GB"/>
        </w:rPr>
        <w:t>Mean BOLD responses were calculated separately for pre-stimulus (attention-related) activity and for the response to the visual stimulus. In fig. 14 we show pre-stimulus activity and stimulus response for each visual area (V1 V2 V3), separating easy trials versus hard trials for both attended and unattended locations. The results show no effect of task difficulty, for either the pre-stimulus activity or the stimulus response. Moreover there is no difference between the attended (valid cues) and unattended (invalid cues) condition. A three way ANOVA (visual areas, easy-hard and attended-unattended) was performed and was not significant</w:t>
      </w:r>
      <w:r w:rsidR="00D34194">
        <w:rPr>
          <w:color w:val="000000"/>
          <w:lang w:val="en-GB"/>
        </w:rPr>
        <w:t xml:space="preserve"> (</w:t>
      </w:r>
      <w:r w:rsidR="00580C98">
        <w:rPr>
          <w:color w:val="000000"/>
          <w:lang w:val="en-GB"/>
        </w:rPr>
        <w:t>F</w:t>
      </w:r>
      <w:r w:rsidR="009B4A4C">
        <w:rPr>
          <w:color w:val="000000"/>
          <w:lang w:val="en-GB"/>
        </w:rPr>
        <w:t>(3.86)</w:t>
      </w:r>
      <w:r w:rsidR="00580C98">
        <w:rPr>
          <w:color w:val="000000"/>
          <w:lang w:val="en-GB"/>
        </w:rPr>
        <w:t xml:space="preserve">=1.225; </w:t>
      </w:r>
      <w:r w:rsidR="00D34194">
        <w:rPr>
          <w:color w:val="000000"/>
          <w:lang w:val="en-GB"/>
        </w:rPr>
        <w:t>p&gt;0.05)</w:t>
      </w:r>
      <w:r>
        <w:rPr>
          <w:color w:val="000000"/>
          <w:lang w:val="en-GB"/>
        </w:rPr>
        <w:t xml:space="preserve">. The design may have been compromised by the fact that the subject was not informed that the cues would sometimes be invalid. This fact might lead the subject to think that the program itself is wrong, and the subject might then change their strategy for performing the task (e.g. attending everywhere) which could result in an activation for the pre-stimulus activity that was equal for attended and unattended locations. </w:t>
      </w:r>
    </w:p>
    <w:p w:rsidR="00867A47" w:rsidRDefault="00867A47" w:rsidP="00867A47">
      <w:pPr>
        <w:pStyle w:val="NormalWeb"/>
        <w:spacing w:after="0" w:line="360" w:lineRule="auto"/>
        <w:jc w:val="both"/>
        <w:rPr>
          <w:color w:val="000000"/>
          <w:lang w:val="en-GB"/>
        </w:rPr>
      </w:pPr>
      <w:r>
        <w:rPr>
          <w:color w:val="000000"/>
          <w:lang w:val="en-GB"/>
        </w:rPr>
        <w:t xml:space="preserve">Moreover a fast shift of attentional modulation from one location to another might explain the absence of difference in the stimulus response between attended and unattended locations. </w:t>
      </w:r>
    </w:p>
    <w:p w:rsidR="00867A47" w:rsidRDefault="002A34F9" w:rsidP="00650134">
      <w:pPr>
        <w:pStyle w:val="NormalWeb"/>
        <w:spacing w:after="0" w:line="360" w:lineRule="auto"/>
        <w:jc w:val="center"/>
        <w:rPr>
          <w:lang w:val="en-US"/>
        </w:rPr>
      </w:pPr>
      <w:r>
        <w:rPr>
          <w:noProof/>
          <w:lang w:val="en-GB" w:eastAsia="en-GB"/>
        </w:rPr>
        <w:drawing>
          <wp:inline distT="0" distB="0" distL="0" distR="0">
            <wp:extent cx="4979035" cy="4166412"/>
            <wp:effectExtent l="25400" t="0" r="0" b="0"/>
            <wp:docPr id="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992669" cy="4177821"/>
                    </a:xfrm>
                    <a:prstGeom prst="rect">
                      <a:avLst/>
                    </a:prstGeom>
                    <a:noFill/>
                    <a:ln w="9525">
                      <a:noFill/>
                      <a:miter lim="800000"/>
                      <a:headEnd/>
                      <a:tailEnd/>
                    </a:ln>
                  </pic:spPr>
                </pic:pic>
              </a:graphicData>
            </a:graphic>
          </wp:inline>
        </w:drawing>
      </w:r>
    </w:p>
    <w:p w:rsidR="00867A47" w:rsidRDefault="00867A47" w:rsidP="000262BE">
      <w:pPr>
        <w:pStyle w:val="NormalWeb"/>
        <w:spacing w:after="0" w:line="360" w:lineRule="auto"/>
        <w:jc w:val="both"/>
        <w:outlineLvl w:val="0"/>
        <w:rPr>
          <w:lang w:val="en-GB"/>
        </w:rPr>
      </w:pPr>
      <w:r>
        <w:rPr>
          <w:sz w:val="18"/>
          <w:szCs w:val="18"/>
          <w:lang w:val="en-GB"/>
        </w:rPr>
        <w:t>Fig. 14 BOLD P</w:t>
      </w:r>
      <w:r>
        <w:rPr>
          <w:color w:val="000000"/>
          <w:sz w:val="18"/>
          <w:szCs w:val="18"/>
          <w:lang w:val="en-GB"/>
        </w:rPr>
        <w:t>re-stimulus activity and stimulus response for each visual area separated for attended and unattended.</w:t>
      </w:r>
    </w:p>
    <w:p w:rsidR="002A34F9" w:rsidRDefault="002A34F9" w:rsidP="00867A47">
      <w:pPr>
        <w:pStyle w:val="NormalWeb"/>
        <w:spacing w:after="0" w:line="360" w:lineRule="auto"/>
        <w:rPr>
          <w:color w:val="000000"/>
          <w:lang w:val="en-GB"/>
        </w:rPr>
      </w:pPr>
    </w:p>
    <w:p w:rsidR="00867A47" w:rsidRDefault="00867A47" w:rsidP="000262BE">
      <w:pPr>
        <w:pStyle w:val="NormalWeb"/>
        <w:spacing w:after="0" w:line="360" w:lineRule="auto"/>
        <w:outlineLvl w:val="0"/>
        <w:rPr>
          <w:lang w:val="en-GB"/>
        </w:rPr>
      </w:pPr>
      <w:r>
        <w:rPr>
          <w:color w:val="000000"/>
          <w:lang w:val="en-GB"/>
        </w:rPr>
        <w:t>3.3.4 Discussion</w:t>
      </w:r>
    </w:p>
    <w:p w:rsidR="00867A47" w:rsidRDefault="00867A47" w:rsidP="00867A47">
      <w:pPr>
        <w:pStyle w:val="NormalWeb"/>
        <w:spacing w:after="0" w:line="360" w:lineRule="auto"/>
        <w:rPr>
          <w:lang w:val="en-GB"/>
        </w:rPr>
      </w:pPr>
    </w:p>
    <w:p w:rsidR="00867A47" w:rsidRDefault="00867A47" w:rsidP="00CC3A24">
      <w:pPr>
        <w:pStyle w:val="NormalWeb"/>
        <w:spacing w:after="0" w:line="360" w:lineRule="auto"/>
        <w:ind w:firstLine="708"/>
        <w:jc w:val="both"/>
        <w:rPr>
          <w:color w:val="000000"/>
          <w:lang w:val="en-GB"/>
        </w:rPr>
      </w:pPr>
      <w:r>
        <w:rPr>
          <w:color w:val="000000"/>
          <w:lang w:val="en-GB"/>
        </w:rPr>
        <w:t>In this experiment we kept the same main idea of Experiment One. We tried, though, to make the task simpler for the subject by introducing only two levels of difficulty, therefore the subject would not get confused about the amount of attention to put in each trial type. In addition we added invalid cues and the idea behind this is that if pre-stimulus activity and stimulus evoked response are related in some way, any change that occurs to pre-stimulus activity would also be seen in the stimulus evoked response. Thus in invalid trials pre-stimulus activity will be allocated in the wrong place in the visual field, and we expected that the stimulus evoked response would be weaker than in valid trials. The results show no differences in easy vs. hard trials for both pre-stimulus and stimulus evoked responses. In addition no differences were found for attended vs. unattended locations for both events. A possible explanation for this is that the subjects, in order to solve the task, might have changed their strategy. For example, because there were also invalid cues, they might decide to attend at all 4 possible locations instead of the cued ones. This could lead to a saturation of the amount of attentional resources to allocate to each locations, resulting in no differences in magnitude of responses between conditions.</w:t>
      </w:r>
    </w:p>
    <w:p w:rsidR="00EC08DB" w:rsidRPr="00650134" w:rsidRDefault="00867A47" w:rsidP="00EC08DB">
      <w:pPr>
        <w:pStyle w:val="NormalWeb"/>
        <w:pageBreakBefore/>
        <w:spacing w:after="0" w:line="360" w:lineRule="auto"/>
        <w:outlineLvl w:val="0"/>
        <w:rPr>
          <w:b/>
          <w:lang w:val="en-GB"/>
        </w:rPr>
      </w:pPr>
      <w:r w:rsidRPr="00650134">
        <w:rPr>
          <w:b/>
          <w:color w:val="000000"/>
          <w:lang w:val="en-GB"/>
        </w:rPr>
        <w:t>Chap 3.4 Experiment 3</w:t>
      </w:r>
      <w:r w:rsidR="00EC08DB">
        <w:rPr>
          <w:b/>
          <w:color w:val="000000"/>
          <w:lang w:val="en-GB"/>
        </w:rPr>
        <w:t>-</w:t>
      </w:r>
      <w:r w:rsidR="00EC08DB" w:rsidRPr="002F6313">
        <w:rPr>
          <w:lang w:val="en-US"/>
        </w:rPr>
        <w:t xml:space="preserve"> </w:t>
      </w:r>
      <w:r w:rsidR="00EC08DB">
        <w:rPr>
          <w:b/>
          <w:lang w:val="en-GB"/>
        </w:rPr>
        <w:t>Dissociating Prestimulus activity and stimulus evoked enhanced response (3).</w:t>
      </w:r>
    </w:p>
    <w:p w:rsidR="00867A47" w:rsidRPr="00650134" w:rsidRDefault="00867A47" w:rsidP="000262BE">
      <w:pPr>
        <w:pStyle w:val="NormalWeb"/>
        <w:spacing w:after="0" w:line="360" w:lineRule="auto"/>
        <w:jc w:val="both"/>
        <w:outlineLvl w:val="0"/>
        <w:rPr>
          <w:b/>
          <w:lang w:val="en-GB"/>
        </w:rPr>
      </w:pPr>
    </w:p>
    <w:p w:rsidR="00867A47" w:rsidRPr="00867A47" w:rsidRDefault="00867A47" w:rsidP="00CC3A24">
      <w:pPr>
        <w:pStyle w:val="NormalWeb"/>
        <w:spacing w:after="0" w:line="360" w:lineRule="auto"/>
        <w:ind w:firstLine="708"/>
        <w:jc w:val="both"/>
        <w:rPr>
          <w:lang w:val="en-US"/>
        </w:rPr>
      </w:pPr>
      <w:r>
        <w:rPr>
          <w:rFonts w:ascii="Times-Roman" w:hAnsi="Times-Roman"/>
          <w:color w:val="141413"/>
          <w:lang w:val="en-GB"/>
        </w:rPr>
        <w:t xml:space="preserve">In Experiment 3 we stick with the idea of task difficulty, but we decided to find a way in which the subject is forced to increase their attention from one trial type to another. We decided to achieve this by increasing the number of stimuli to be attended. </w:t>
      </w:r>
      <w:r w:rsidR="00CD2A4D">
        <w:rPr>
          <w:color w:val="101010"/>
          <w:lang w:val="en-US"/>
        </w:rPr>
        <w:t xml:space="preserve">Some physiological studies have pointed out that although </w:t>
      </w:r>
      <w:r w:rsidR="00CD2A4D">
        <w:rPr>
          <w:color w:val="000000"/>
          <w:lang w:val="en-US"/>
        </w:rPr>
        <w:t>responses are typically reduced by competing, simultaneously presented stimuli, attention results in greater enhancement of responses in the presence of competing stimuli than occurs in non-competing (e.g. sequentially presented) stimuli</w:t>
      </w:r>
      <w:r>
        <w:rPr>
          <w:rFonts w:ascii="Times-Roman" w:hAnsi="Times-Roman"/>
          <w:color w:val="000000"/>
          <w:lang w:val="en-GB"/>
        </w:rPr>
        <w:t xml:space="preserve"> (Moran &amp; Desimone 1985; Chelazzi et al., 1993; 1998; Treue &amp; Maunsell, 1996; Luck et al., 1997; Reynolds et al., 1999). Evidence from fMRI (Kastner et al., 1998) supports the same conclusions. Therefore our idea is that increasing the number of stimuli to be attended will increase the stimulus evoked response in the corresponding retinotopic location in the cortex, compared to the condition with only one. If this is correct, we will be able to see whether pre-stimulus responses behave in the same way.</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color w:val="000000"/>
          <w:lang w:val="en-GB"/>
        </w:rPr>
        <w:t xml:space="preserve">3.4.1 Pilot 1-Methods </w:t>
      </w:r>
    </w:p>
    <w:p w:rsidR="00867A47" w:rsidRDefault="00867A47" w:rsidP="00867A47">
      <w:pPr>
        <w:pStyle w:val="NormalWeb"/>
        <w:spacing w:after="0" w:line="360" w:lineRule="auto"/>
        <w:rPr>
          <w:lang w:val="en-GB"/>
        </w:rPr>
      </w:pPr>
    </w:p>
    <w:p w:rsidR="00867A47" w:rsidRPr="00867A47" w:rsidRDefault="00867A47" w:rsidP="00CC3A24">
      <w:pPr>
        <w:pStyle w:val="NormalWeb"/>
        <w:spacing w:after="0" w:line="360" w:lineRule="auto"/>
        <w:ind w:firstLine="708"/>
        <w:jc w:val="both"/>
        <w:rPr>
          <w:lang w:val="en-US"/>
        </w:rPr>
      </w:pPr>
      <w:r>
        <w:rPr>
          <w:color w:val="000000"/>
          <w:lang w:val="en-GB"/>
        </w:rPr>
        <w:t>Two subjects were scanned. The task involved target recognition, in which the subject has to identify whether a target is present in one of the locations indicated by the cue. The number of locations to be attended could be either 1, 2, or 4. In the case of multiple locations, only one of the stimuli visualized could be the target. A target was present in 50% of the trials.</w:t>
      </w:r>
    </w:p>
    <w:p w:rsidR="00867A47" w:rsidRPr="00867A47" w:rsidRDefault="00867A47" w:rsidP="00CC3A24">
      <w:pPr>
        <w:pStyle w:val="NormalWeb"/>
        <w:spacing w:after="0" w:line="360" w:lineRule="auto"/>
        <w:ind w:firstLine="708"/>
        <w:jc w:val="both"/>
        <w:rPr>
          <w:lang w:val="en-US"/>
        </w:rPr>
      </w:pPr>
      <w:r>
        <w:rPr>
          <w:color w:val="000000"/>
          <w:lang w:val="en-GB"/>
        </w:rPr>
        <w:t>The stimuli are 9 Gabors created by the combination of 3 different spatial frequencies (0.24, 0.30, 0.40 c/deg) and 3 different contrasts (45, 67 and 95%). The Gabors were truncated to give hard edges (3 deg. Diameter).</w:t>
      </w:r>
    </w:p>
    <w:p w:rsidR="00867A47" w:rsidRPr="00867A47" w:rsidRDefault="00867A47" w:rsidP="00CC3A24">
      <w:pPr>
        <w:pStyle w:val="NormalWeb"/>
        <w:spacing w:after="0" w:line="360" w:lineRule="auto"/>
        <w:ind w:firstLine="708"/>
        <w:jc w:val="both"/>
        <w:rPr>
          <w:lang w:val="en-US"/>
        </w:rPr>
      </w:pPr>
      <w:r>
        <w:rPr>
          <w:color w:val="000000"/>
          <w:lang w:val="en-GB"/>
        </w:rPr>
        <w:t>Each presentation of the 9 Gabors was balanced across locations. The target is made by the combination of the middle contrast and the middle spatial frequency. The possible locations were located in each of the four quadrants of the visual field. Each location contained a circle of diameter 3 deg centred at 2 deg. of eccentricity from the fixation point, in which the stimuli could appear. The basic idea was that by increasing the number of locations and stimuli, the difficulty level could be increased. Each trial consisted of a cue followed by a stimulus. The cue was visualized for 250 msec. It advised the subject about the location(s) in which the stimulus would appear by means of arrows at the corners of the fixation square (1, 2 or 4 locations cued). In the case of two locations the arrows could be pointing in only two different combinations (upper right and lower left, or upper left and lower right). Gabor stimuli were then presented for 250 msec simultaneously in all cued locations. Between the cue and the stimulus the screen was blank, apart from the fixation square, for a Poisson distributed random time (Hagberg et al., 2001) between 3 and 9 sec with mean 6. Trials were separated from each other by an inter-trial interval in which the screen was empty apart from the fixation square. The interval varied between 4 and 12 sec with a Poisson probability distribution (Hagberg et al., 2001). The mean interval was 6 sec, the maximum and minimum were 12 sec and 4 sec and the interval varied in steps of 0.5 sec. Each run lasted an average of 4 min and 30 sec. The scan duration was 45 minutes, including the anatomical scan. Separate regressors were used for the cue and the task and for each combination of locations cued (7 regressors of interest in total, 4 for one location cued only, 2 for two locations cued and 1 for four locations cued).</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color w:val="000000"/>
          <w:lang w:val="en-GB"/>
        </w:rPr>
        <w:t>3.4.2 Pilot1-Results</w:t>
      </w:r>
    </w:p>
    <w:p w:rsidR="00867A47" w:rsidRDefault="00867A47" w:rsidP="00867A47">
      <w:pPr>
        <w:pStyle w:val="NormalWeb"/>
        <w:spacing w:after="0" w:line="360" w:lineRule="auto"/>
        <w:rPr>
          <w:lang w:val="en-GB"/>
        </w:rPr>
      </w:pPr>
    </w:p>
    <w:p w:rsidR="00867A47" w:rsidRDefault="00867A47" w:rsidP="00CC3A24">
      <w:pPr>
        <w:pStyle w:val="NormalWeb"/>
        <w:spacing w:after="0" w:line="360" w:lineRule="auto"/>
        <w:ind w:firstLine="708"/>
        <w:jc w:val="both"/>
        <w:rPr>
          <w:color w:val="000000"/>
          <w:lang w:val="en-GB"/>
        </w:rPr>
      </w:pPr>
      <w:r>
        <w:rPr>
          <w:color w:val="000000"/>
          <w:lang w:val="en-GB"/>
        </w:rPr>
        <w:t xml:space="preserve">The results did not reflect the main idea which was that increasing the number of stimuli would increase the difficulty of the task, leading to an increase in activity in the cortex due to the stimulus and the attentional load. The results show that the response did not differ between difficulty conditions, suggesting that probably the strategy adopted by the subject may differ. For instance it could be the case that with multiple stimuli, although the attentional demand was greater, the task was actually easier, because the presence of multiple targets allowed comparison with one or more reference stimuli, and this reflected performaces. </w:t>
      </w:r>
    </w:p>
    <w:p w:rsidR="00867A47" w:rsidRDefault="00867A47" w:rsidP="00561484">
      <w:pPr>
        <w:pStyle w:val="NormalWeb"/>
        <w:spacing w:after="0" w:line="360" w:lineRule="auto"/>
        <w:jc w:val="center"/>
        <w:rPr>
          <w:lang w:val="en-US"/>
        </w:rPr>
      </w:pPr>
      <w:r>
        <w:rPr>
          <w:noProof/>
          <w:lang w:val="en-GB" w:eastAsia="en-GB"/>
        </w:rPr>
        <w:drawing>
          <wp:inline distT="0" distB="0" distL="0" distR="0">
            <wp:extent cx="5400000" cy="1882298"/>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400000" cy="1882298"/>
                    </a:xfrm>
                    <a:prstGeom prst="rect">
                      <a:avLst/>
                    </a:prstGeom>
                    <a:noFill/>
                    <a:ln w="9525">
                      <a:noFill/>
                      <a:miter lim="800000"/>
                      <a:headEnd/>
                      <a:tailEnd/>
                    </a:ln>
                  </pic:spPr>
                </pic:pic>
              </a:graphicData>
            </a:graphic>
          </wp:inline>
        </w:drawing>
      </w:r>
    </w:p>
    <w:p w:rsidR="00867A47" w:rsidRDefault="00867A47" w:rsidP="000262BE">
      <w:pPr>
        <w:pStyle w:val="NormalWeb"/>
        <w:spacing w:after="0" w:line="360" w:lineRule="auto"/>
        <w:jc w:val="both"/>
        <w:outlineLvl w:val="0"/>
        <w:rPr>
          <w:lang w:val="en-GB"/>
        </w:rPr>
      </w:pPr>
      <w:r>
        <w:rPr>
          <w:color w:val="000000"/>
          <w:sz w:val="18"/>
          <w:szCs w:val="18"/>
          <w:lang w:val="en-GB"/>
        </w:rPr>
        <w:t>Fig 15. BOLD pre-stimulus and stimulus response averaged across subjects for each difficulty level (V1 as an example)</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color w:val="000000"/>
          <w:lang w:val="en-GB"/>
        </w:rPr>
        <w:t>3.4.3 Pilot 2-Methods</w:t>
      </w:r>
    </w:p>
    <w:p w:rsidR="00867A47" w:rsidRDefault="00867A47" w:rsidP="00867A47">
      <w:pPr>
        <w:pStyle w:val="NormalWeb"/>
        <w:spacing w:after="0" w:line="360" w:lineRule="auto"/>
        <w:rPr>
          <w:lang w:val="en-GB"/>
        </w:rPr>
      </w:pPr>
    </w:p>
    <w:p w:rsidR="00867A47" w:rsidRPr="00867A47" w:rsidRDefault="00867A47" w:rsidP="00CC3A24">
      <w:pPr>
        <w:pStyle w:val="NormalWeb"/>
        <w:spacing w:after="0" w:line="360" w:lineRule="auto"/>
        <w:ind w:firstLine="708"/>
        <w:jc w:val="both"/>
        <w:rPr>
          <w:lang w:val="en-US"/>
        </w:rPr>
      </w:pPr>
      <w:r>
        <w:rPr>
          <w:color w:val="000000"/>
          <w:lang w:val="en-GB"/>
        </w:rPr>
        <w:t>We changed the task in order to reach the target of increasing the level of difficulty by manipulating the number of locations.</w:t>
      </w:r>
      <w:r w:rsidR="00F27360">
        <w:rPr>
          <w:color w:val="000000"/>
          <w:lang w:val="en-GB"/>
        </w:rPr>
        <w:t xml:space="preserve"> Differently from pilot 1, t</w:t>
      </w:r>
      <w:r>
        <w:rPr>
          <w:color w:val="000000"/>
          <w:lang w:val="en-GB"/>
        </w:rPr>
        <w:t>he task was now an orientation discrimination task in which the subject had to state whether the Gabor (or one of them, in conditions with multiple Gabors) was tilted from the vertical (3 deg to the left or right). In this task, the orientation comparison must be made with an internal reference (knowledge of true vertical) and comparison with Gabors in other quadrants is of little value. Thus we hoped that the problem identified in Pilot 1 could be avoided. Again the stimuli were 9 Gabors created by the combination of 3 different spatial frequencies and 3 different contrasts. The task structure was the same as in Pilot 1: on 50% of trials, one Gabor deviated from vertical and all others were vertical. The subject responded whether or not such a Gabor was present. Timings and analysis methods were the same as in Pilot 1. Four subjects were scanned.</w:t>
      </w:r>
    </w:p>
    <w:p w:rsidR="00867A47" w:rsidRDefault="00867A47" w:rsidP="00867A47">
      <w:pPr>
        <w:pStyle w:val="NormalWeb"/>
        <w:spacing w:after="0" w:line="360" w:lineRule="auto"/>
        <w:rPr>
          <w:lang w:val="en-GB"/>
        </w:rPr>
      </w:pPr>
    </w:p>
    <w:p w:rsidR="00D80848" w:rsidRDefault="00D80848" w:rsidP="000262BE">
      <w:pPr>
        <w:pStyle w:val="NormalWeb"/>
        <w:spacing w:after="0" w:line="360" w:lineRule="auto"/>
        <w:outlineLvl w:val="0"/>
        <w:rPr>
          <w:color w:val="000000"/>
          <w:lang w:val="en-GB"/>
        </w:rPr>
      </w:pPr>
    </w:p>
    <w:p w:rsidR="00867A47" w:rsidRDefault="00867A47" w:rsidP="000262BE">
      <w:pPr>
        <w:pStyle w:val="NormalWeb"/>
        <w:spacing w:after="0" w:line="360" w:lineRule="auto"/>
        <w:outlineLvl w:val="0"/>
        <w:rPr>
          <w:lang w:val="en-GB"/>
        </w:rPr>
      </w:pPr>
      <w:r>
        <w:rPr>
          <w:color w:val="000000"/>
          <w:lang w:val="en-GB"/>
        </w:rPr>
        <w:t>3.4.4 Pilot2-Results</w:t>
      </w:r>
    </w:p>
    <w:p w:rsidR="00867A47" w:rsidRDefault="00867A47" w:rsidP="00867A47">
      <w:pPr>
        <w:pStyle w:val="NormalWeb"/>
        <w:spacing w:after="0" w:line="360" w:lineRule="auto"/>
        <w:rPr>
          <w:lang w:val="en-GB"/>
        </w:rPr>
      </w:pPr>
    </w:p>
    <w:p w:rsidR="00867A47" w:rsidRPr="00867A47" w:rsidRDefault="00867A47" w:rsidP="00CC3A24">
      <w:pPr>
        <w:pStyle w:val="NormalWeb"/>
        <w:spacing w:after="0" w:line="360" w:lineRule="auto"/>
        <w:ind w:firstLine="708"/>
        <w:jc w:val="both"/>
        <w:rPr>
          <w:lang w:val="en-US"/>
        </w:rPr>
      </w:pPr>
      <w:r>
        <w:rPr>
          <w:color w:val="000000"/>
          <w:lang w:val="en-GB"/>
        </w:rPr>
        <w:t>The imaging data show that the magnitude of response for pre-stimulus activity increased between the conditions with one location vs. two locations (</w:t>
      </w:r>
      <w:r w:rsidR="00580C98">
        <w:rPr>
          <w:color w:val="000000"/>
          <w:lang w:val="en-GB"/>
        </w:rPr>
        <w:t>F=7.567;</w:t>
      </w:r>
      <w:r>
        <w:rPr>
          <w:color w:val="000000"/>
          <w:lang w:val="en-GB"/>
        </w:rPr>
        <w:t xml:space="preserve"> p&lt;0.005). No further change was found in the condition with four locations. For the stimulus evoked response, there were no differences between conditions.</w:t>
      </w:r>
    </w:p>
    <w:p w:rsidR="00867A47" w:rsidRDefault="00867A47" w:rsidP="00867A47">
      <w:pPr>
        <w:pStyle w:val="NormalWeb"/>
        <w:spacing w:after="0" w:line="360" w:lineRule="auto"/>
        <w:jc w:val="center"/>
        <w:rPr>
          <w:lang w:val="en-US"/>
        </w:rPr>
      </w:pPr>
      <w:r>
        <w:rPr>
          <w:noProof/>
          <w:lang w:val="en-GB" w:eastAsia="en-GB"/>
        </w:rPr>
        <w:drawing>
          <wp:inline distT="0" distB="0" distL="0" distR="0">
            <wp:extent cx="4639800" cy="288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639800" cy="2880000"/>
                    </a:xfrm>
                    <a:prstGeom prst="rect">
                      <a:avLst/>
                    </a:prstGeom>
                    <a:noFill/>
                    <a:ln w="9525">
                      <a:noFill/>
                      <a:miter lim="800000"/>
                      <a:headEnd/>
                      <a:tailEnd/>
                    </a:ln>
                  </pic:spPr>
                </pic:pic>
              </a:graphicData>
            </a:graphic>
          </wp:inline>
        </w:drawing>
      </w:r>
    </w:p>
    <w:p w:rsidR="00867A47" w:rsidRDefault="00867A47" w:rsidP="00867A47">
      <w:pPr>
        <w:pStyle w:val="NormalWeb"/>
        <w:spacing w:after="0" w:line="360" w:lineRule="auto"/>
        <w:jc w:val="both"/>
        <w:rPr>
          <w:color w:val="000000"/>
          <w:sz w:val="18"/>
          <w:szCs w:val="18"/>
          <w:lang w:val="en-GB"/>
        </w:rPr>
      </w:pPr>
      <w:r>
        <w:rPr>
          <w:color w:val="000000"/>
          <w:sz w:val="18"/>
          <w:szCs w:val="18"/>
          <w:lang w:val="en-GB"/>
        </w:rPr>
        <w:t>Fig. 16 Performance for each difficulty level averaged across subjects.</w:t>
      </w:r>
    </w:p>
    <w:p w:rsidR="00867A47" w:rsidRDefault="00867A47" w:rsidP="00867A47">
      <w:pPr>
        <w:pStyle w:val="NormalWeb"/>
        <w:spacing w:after="0" w:line="360" w:lineRule="auto"/>
        <w:jc w:val="center"/>
        <w:rPr>
          <w:lang w:val="en-GB"/>
        </w:rPr>
      </w:pPr>
      <w:r>
        <w:rPr>
          <w:noProof/>
          <w:lang w:val="en-GB" w:eastAsia="en-GB"/>
        </w:rPr>
        <w:drawing>
          <wp:inline distT="0" distB="0" distL="0" distR="0">
            <wp:extent cx="3205537" cy="2772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205537" cy="2772000"/>
                    </a:xfrm>
                    <a:prstGeom prst="rect">
                      <a:avLst/>
                    </a:prstGeom>
                    <a:noFill/>
                    <a:ln w="9525">
                      <a:noFill/>
                      <a:miter lim="800000"/>
                      <a:headEnd/>
                      <a:tailEnd/>
                    </a:ln>
                  </pic:spPr>
                </pic:pic>
              </a:graphicData>
            </a:graphic>
          </wp:inline>
        </w:drawing>
      </w:r>
    </w:p>
    <w:p w:rsidR="00867A47" w:rsidRDefault="00867A47" w:rsidP="00867A47">
      <w:pPr>
        <w:pStyle w:val="NormalWeb"/>
        <w:spacing w:after="0" w:line="360" w:lineRule="auto"/>
        <w:jc w:val="both"/>
        <w:rPr>
          <w:color w:val="000000"/>
          <w:sz w:val="18"/>
          <w:szCs w:val="18"/>
          <w:lang w:val="en-GB"/>
        </w:rPr>
      </w:pPr>
      <w:r>
        <w:rPr>
          <w:color w:val="000000"/>
          <w:sz w:val="18"/>
          <w:szCs w:val="18"/>
          <w:lang w:val="en-GB"/>
        </w:rPr>
        <w:t>Fig.17 BOLD pre-stimulus activity and stimulus response for each difficulty level and each visual area averaged across subjects.</w:t>
      </w:r>
    </w:p>
    <w:p w:rsidR="00867A47" w:rsidRPr="00867A47" w:rsidRDefault="00867A47" w:rsidP="00CC3A24">
      <w:pPr>
        <w:pStyle w:val="NormalWeb"/>
        <w:spacing w:after="0" w:line="360" w:lineRule="auto"/>
        <w:ind w:firstLine="708"/>
        <w:jc w:val="both"/>
        <w:rPr>
          <w:lang w:val="en-US"/>
        </w:rPr>
      </w:pPr>
      <w:r>
        <w:rPr>
          <w:color w:val="000000"/>
          <w:lang w:val="en-GB"/>
        </w:rPr>
        <w:t xml:space="preserve">The fact that pre-stimulus activity increased suggested that the attentional load of the subject was increasing because the task was becoming more demanding to solve. This was in line with performance, because performance dropped as the number of locations increased. Thus the difficulty of the task was increasing. The fact that no differences were found from two to four locations may suggest that the attentional load itself was saturating when splitting it on the two hemi field of the visual field. In light of the results, we decided to use the orientation task of Pilot 2 in the main experiment but to use only the conditions with one and two locations. </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color w:val="000000"/>
          <w:lang w:val="en-GB"/>
        </w:rPr>
        <w:t>3.4.5 Main Experiment-Methods</w:t>
      </w:r>
    </w:p>
    <w:p w:rsidR="00867A47" w:rsidRDefault="00867A47" w:rsidP="00867A47">
      <w:pPr>
        <w:pStyle w:val="NormalWeb"/>
        <w:spacing w:after="0" w:line="360" w:lineRule="auto"/>
        <w:rPr>
          <w:lang w:val="en-GB"/>
        </w:rPr>
      </w:pPr>
    </w:p>
    <w:p w:rsidR="00D34194" w:rsidRDefault="00D34194" w:rsidP="00CC3A24">
      <w:pPr>
        <w:pStyle w:val="NormalWeb"/>
        <w:spacing w:after="0" w:line="360" w:lineRule="auto"/>
        <w:ind w:firstLine="708"/>
        <w:jc w:val="both"/>
        <w:rPr>
          <w:color w:val="000000"/>
          <w:lang w:val="en-GB"/>
        </w:rPr>
      </w:pPr>
      <w:r>
        <w:rPr>
          <w:color w:val="000000"/>
          <w:lang w:val="en-GB"/>
        </w:rPr>
        <w:t>8 subjects took part at the experiment (6 female 2 male, 29 years +/- 6).</w:t>
      </w:r>
      <w:r w:rsidR="00867A47">
        <w:rPr>
          <w:color w:val="000000"/>
          <w:lang w:val="en-GB"/>
        </w:rPr>
        <w:t xml:space="preserve">The design was similar to Pilot 2. The task involved orientation discrimination where the subject had to state whether the Gabor (or one of them in condition with multiple Gabors) was tilted from the vertical, to either the left or right. The tilt was 3, 4 or 5 deg. The magnitude of tilt was determined separately for each subject in an initial behavioural test conducted outside the scanner using the same stimulus configuration as in the main experiment. A tilt that gave close to 75% correct performance was chosen and used for all trials conducted with that subject during scanning. Again the stimuli were 9 truncated Gabors created by the combination of 3 different spatial frequencies (0.24, 0.30, 0.40 c/deg) and three contrasts (45, 67 and 95%). Presentation of the 9 Gabors was balanced across locations. Each trial consisted of a cue followed by a stimulus. The cue was visualized for 250 msec. It advised the subject about the location(s) in which a stimulus would appear by means of an arrow at the corners of the fixation square (1 or 2 locations cued). In the case of two locations, the arrows could be pointing in only two different combinations (upper right and lower left, or upper left and lower right). The Gabor stimulus was then presented for 250 msec, simultaneously in each cued location. Between the cue and the stimulus the screen was blank, apart from the fixation square, for a Poisson distributed random time (Hagberg et al., 2001) between 3 and 9 sec with mean 6. Trials were separated from each other by an inter-trial interval in which the screen was empty apart from the fixation square. The interval varied between 4 and 12 sec with a Poisson probability distribution (Hagberg et al., 2001). The mean interval was 6 sec, the maximum and minimum were 12 sec and 4 sec and the interval varied in steps of 0.5 sec. Each run lasted an average of 4 min and 30 sec. The scan duration was 45 minutes, including the anatomical scan. In addition, behavioural data were collected outside the scanner to adjust the degree of the tilt for the target for each subject. Regressors of interest were constructed from the onset times of the events. </w:t>
      </w:r>
      <w:r w:rsidR="00BD4B16">
        <w:rPr>
          <w:color w:val="000000"/>
          <w:lang w:val="en-US"/>
        </w:rPr>
        <w:t>Separate regressors were used for the cue and the task and for each number of locations and location(s) cued (12 regressors of interest in total, 6 for the cue and 6 for the task, in each case 4 for one location cued and 2 for two locations cued).</w:t>
      </w:r>
      <w:r w:rsidR="00867A47">
        <w:rPr>
          <w:color w:val="000000"/>
          <w:lang w:val="en-GB"/>
        </w:rPr>
        <w:t xml:space="preserve"> As well as the 6 event categories, six head-movement regressors were included, derived from the realignment of the images. Each stimulus presentation was modelled as a boxcar of 250 ms duration, and each cue presentation was modelled as a boxcar of 250 ms duration, convolved with a canonical haemodynamic response function. The regressors were entered into a multiple regression analysis to generate parameter estimates for each regressor at every voxel. Correction for effects of serial autocorrelations was applied using the AR(1) method. The regressors were tested with SPM to test whether any were significantly correlated, setting the maximum allowable correlation at 0.02.</w:t>
      </w:r>
    </w:p>
    <w:p w:rsidR="00867A47" w:rsidRPr="00867A47" w:rsidRDefault="00D34194" w:rsidP="00CC3A24">
      <w:pPr>
        <w:pStyle w:val="NormalWeb"/>
        <w:spacing w:after="0" w:line="360" w:lineRule="auto"/>
        <w:ind w:firstLine="708"/>
        <w:jc w:val="both"/>
        <w:rPr>
          <w:lang w:val="en-US"/>
        </w:rPr>
      </w:pPr>
      <w:r>
        <w:rPr>
          <w:color w:val="000000"/>
          <w:lang w:val="en-GB"/>
        </w:rPr>
        <w:t>ROI’s were defined by the activations due by the stimulus present alone in each of the possible locations.</w:t>
      </w:r>
    </w:p>
    <w:p w:rsidR="00867A47" w:rsidRDefault="00867A47" w:rsidP="00CC3A24">
      <w:pPr>
        <w:pStyle w:val="NormalWeb"/>
        <w:spacing w:after="0" w:line="360" w:lineRule="auto"/>
        <w:ind w:firstLine="708"/>
        <w:jc w:val="both"/>
        <w:rPr>
          <w:lang w:val="en-GB"/>
        </w:rPr>
      </w:pPr>
      <w:r>
        <w:rPr>
          <w:color w:val="000000"/>
          <w:lang w:val="en-GB"/>
        </w:rPr>
        <w:t>Appropriate contrasts were defined individually for each participant and the results visualized using flattened or inflated representations of each person’s MDEFT. Statistical maps for each subject were thresholded (p&lt;0.001 uncorrected). Within each visual area (V1, V2, V3) defined by retinotopic mapping, a region of interest (ROI) was calculated based on the activations due to the stimulus presentation (average of all 8 runs).</w:t>
      </w:r>
    </w:p>
    <w:p w:rsidR="00150B99" w:rsidRDefault="00867A47" w:rsidP="00CC3A24">
      <w:pPr>
        <w:pStyle w:val="NormalWeb"/>
        <w:spacing w:after="0" w:line="360" w:lineRule="auto"/>
        <w:ind w:firstLine="708"/>
        <w:jc w:val="both"/>
        <w:rPr>
          <w:lang w:val="en-GB"/>
        </w:rPr>
      </w:pPr>
      <w:r>
        <w:rPr>
          <w:color w:val="000000"/>
          <w:lang w:val="en-GB"/>
        </w:rPr>
        <w:t>The purpose was to see whether there was any difference between the condition with one stimulus to be attended and the condition with two for the anticipatory response and the stimulus response, measured only within the region activated by the stimulus.</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color w:val="000000"/>
          <w:lang w:val="en-GB"/>
        </w:rPr>
        <w:t>3.4.6 Results</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i/>
          <w:iCs/>
          <w:color w:val="000000"/>
          <w:lang w:val="en-GB"/>
        </w:rPr>
        <w:t>Performance data</w:t>
      </w:r>
    </w:p>
    <w:p w:rsidR="00867A47" w:rsidRDefault="00867A47" w:rsidP="00CC3A24">
      <w:pPr>
        <w:pStyle w:val="NormalWeb"/>
        <w:spacing w:after="0" w:line="360" w:lineRule="auto"/>
        <w:ind w:firstLine="708"/>
        <w:jc w:val="both"/>
        <w:rPr>
          <w:lang w:val="en-GB"/>
        </w:rPr>
      </w:pPr>
      <w:r>
        <w:rPr>
          <w:color w:val="000000"/>
          <w:lang w:val="en-GB"/>
        </w:rPr>
        <w:t>Behavioural results inside and outside the scanner show a decrease in performance for the subjects on average when the number of attended locations increases. This confirms that increasing the number of locations was effective in increasing the difficulty of the task.</w:t>
      </w:r>
    </w:p>
    <w:p w:rsidR="00867A47" w:rsidRDefault="00867A47" w:rsidP="00EF5785">
      <w:pPr>
        <w:pStyle w:val="NormalWeb"/>
        <w:spacing w:after="0" w:line="360" w:lineRule="auto"/>
        <w:jc w:val="center"/>
        <w:rPr>
          <w:lang w:val="en-GB"/>
        </w:rPr>
      </w:pPr>
      <w:r>
        <w:rPr>
          <w:noProof/>
          <w:lang w:val="en-GB" w:eastAsia="en-GB"/>
        </w:rPr>
        <w:drawing>
          <wp:inline distT="0" distB="0" distL="0" distR="0" wp14:anchorId="6BD6B693" wp14:editId="27272588">
            <wp:extent cx="5400000" cy="3632001"/>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400000" cy="3632001"/>
                    </a:xfrm>
                    <a:prstGeom prst="rect">
                      <a:avLst/>
                    </a:prstGeom>
                    <a:noFill/>
                    <a:ln w="9525">
                      <a:noFill/>
                      <a:miter lim="800000"/>
                      <a:headEnd/>
                      <a:tailEnd/>
                    </a:ln>
                  </pic:spPr>
                </pic:pic>
              </a:graphicData>
            </a:graphic>
          </wp:inline>
        </w:drawing>
      </w:r>
      <w:r>
        <w:rPr>
          <w:color w:val="000000"/>
          <w:sz w:val="18"/>
          <w:szCs w:val="18"/>
          <w:lang w:val="en-GB"/>
        </w:rPr>
        <w:t>Fig. 18 Performance for both difficulty level outside and inside the scanner averaged across participants.</w:t>
      </w:r>
    </w:p>
    <w:p w:rsidR="00867A47" w:rsidRDefault="00867A47" w:rsidP="00867A47">
      <w:pPr>
        <w:pStyle w:val="NormalWeb"/>
        <w:spacing w:after="0" w:line="360" w:lineRule="auto"/>
        <w:jc w:val="center"/>
        <w:rPr>
          <w:lang w:val="en-GB"/>
        </w:rPr>
      </w:pPr>
    </w:p>
    <w:p w:rsidR="00867A47" w:rsidRDefault="00867A47" w:rsidP="000262BE">
      <w:pPr>
        <w:pStyle w:val="NormalWeb"/>
        <w:spacing w:after="0" w:line="360" w:lineRule="auto"/>
        <w:outlineLvl w:val="0"/>
        <w:rPr>
          <w:lang w:val="en-GB"/>
        </w:rPr>
      </w:pPr>
      <w:r>
        <w:rPr>
          <w:i/>
          <w:iCs/>
          <w:color w:val="000000"/>
          <w:lang w:val="en-GB"/>
        </w:rPr>
        <w:t>Imaging data</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i/>
          <w:iCs/>
          <w:color w:val="000000"/>
          <w:lang w:val="en-GB"/>
        </w:rPr>
      </w:pPr>
      <w:r>
        <w:rPr>
          <w:i/>
          <w:iCs/>
          <w:color w:val="000000"/>
          <w:lang w:val="en-GB"/>
        </w:rPr>
        <w:t>Response magnitude</w:t>
      </w:r>
    </w:p>
    <w:p w:rsidR="00867A47" w:rsidRDefault="00867A47" w:rsidP="00CC3A24">
      <w:pPr>
        <w:pStyle w:val="NormalWeb"/>
        <w:spacing w:after="0" w:line="360" w:lineRule="auto"/>
        <w:ind w:firstLine="708"/>
        <w:jc w:val="both"/>
        <w:rPr>
          <w:color w:val="000000"/>
          <w:lang w:val="en-GB"/>
        </w:rPr>
      </w:pPr>
      <w:r>
        <w:rPr>
          <w:color w:val="000000"/>
          <w:lang w:val="en-GB"/>
        </w:rPr>
        <w:t>In the literature it is well known that attentional modulation increases stimulus responses according to task difficulty (Chen et al., 2008). We obtained the same results for the stimulus response in our experiment (</w:t>
      </w:r>
      <w:r w:rsidR="00580C98">
        <w:rPr>
          <w:color w:val="000000"/>
          <w:lang w:val="en-GB"/>
        </w:rPr>
        <w:t>F</w:t>
      </w:r>
      <w:r w:rsidR="009B4A4C">
        <w:rPr>
          <w:color w:val="000000"/>
          <w:lang w:val="en-GB"/>
        </w:rPr>
        <w:t>(3.84)</w:t>
      </w:r>
      <w:r w:rsidR="00580C98">
        <w:rPr>
          <w:color w:val="000000"/>
          <w:lang w:val="en-GB"/>
        </w:rPr>
        <w:t>=3.754</w:t>
      </w:r>
      <w:r>
        <w:rPr>
          <w:color w:val="000000"/>
          <w:lang w:val="en-GB"/>
        </w:rPr>
        <w:t xml:space="preserve"> p&lt;0.05) in all visual areas except V1</w:t>
      </w:r>
      <w:r w:rsidR="00580C98">
        <w:rPr>
          <w:color w:val="000000"/>
          <w:lang w:val="en-GB"/>
        </w:rPr>
        <w:t xml:space="preserve"> (F</w:t>
      </w:r>
      <w:r w:rsidR="009B4A4C">
        <w:rPr>
          <w:color w:val="000000"/>
          <w:lang w:val="en-GB"/>
        </w:rPr>
        <w:t>(3.84)</w:t>
      </w:r>
      <w:r w:rsidR="00580C98">
        <w:rPr>
          <w:color w:val="000000"/>
          <w:lang w:val="en-GB"/>
        </w:rPr>
        <w:t>=1.304; p&gt;0.05)</w:t>
      </w:r>
      <w:r>
        <w:rPr>
          <w:color w:val="000000"/>
          <w:lang w:val="en-GB"/>
        </w:rPr>
        <w:t>. Surprisingly, the same modulation occurs for the pre-stimulus activity (</w:t>
      </w:r>
      <w:r w:rsidR="00B56A3D">
        <w:rPr>
          <w:color w:val="000000"/>
          <w:lang w:val="en-GB"/>
        </w:rPr>
        <w:t>F</w:t>
      </w:r>
      <w:r w:rsidR="009B4A4C">
        <w:rPr>
          <w:color w:val="000000"/>
          <w:lang w:val="en-GB"/>
        </w:rPr>
        <w:t>(3.84)</w:t>
      </w:r>
      <w:r w:rsidR="00B56A3D">
        <w:rPr>
          <w:color w:val="000000"/>
          <w:lang w:val="en-GB"/>
        </w:rPr>
        <w:t>=4.047</w:t>
      </w:r>
      <w:r w:rsidR="00580C98">
        <w:rPr>
          <w:color w:val="000000"/>
          <w:lang w:val="en-GB"/>
        </w:rPr>
        <w:t xml:space="preserve">; </w:t>
      </w:r>
      <w:r>
        <w:rPr>
          <w:color w:val="000000"/>
          <w:lang w:val="en-GB"/>
        </w:rPr>
        <w:t>p&lt;0.05), again for both V2 and V3 but not V1. A recent paper from Sylvester et al. (2009) shows that anticipatory and stimulus evoked blood oxygenation level-dependent modulations related to spatial attention reflect a common additive signal. Our results are in line with that argument.</w:t>
      </w:r>
    </w:p>
    <w:p w:rsidR="00EF5785" w:rsidRDefault="00867A47" w:rsidP="00EF5785">
      <w:pPr>
        <w:pStyle w:val="NormalWeb"/>
        <w:spacing w:after="0" w:line="360" w:lineRule="auto"/>
        <w:jc w:val="center"/>
        <w:rPr>
          <w:color w:val="000000"/>
          <w:sz w:val="18"/>
          <w:szCs w:val="18"/>
          <w:lang w:val="en-GB"/>
        </w:rPr>
      </w:pPr>
      <w:r>
        <w:rPr>
          <w:noProof/>
          <w:lang w:val="en-GB" w:eastAsia="en-GB"/>
        </w:rPr>
        <w:drawing>
          <wp:inline distT="0" distB="0" distL="0" distR="0" wp14:anchorId="0B6D0556" wp14:editId="70726A0A">
            <wp:extent cx="5400000" cy="4565783"/>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400000" cy="4565783"/>
                    </a:xfrm>
                    <a:prstGeom prst="rect">
                      <a:avLst/>
                    </a:prstGeom>
                    <a:noFill/>
                    <a:ln w="9525">
                      <a:noFill/>
                      <a:miter lim="800000"/>
                      <a:headEnd/>
                      <a:tailEnd/>
                    </a:ln>
                  </pic:spPr>
                </pic:pic>
              </a:graphicData>
            </a:graphic>
          </wp:inline>
        </w:drawing>
      </w:r>
    </w:p>
    <w:p w:rsidR="00EF5785" w:rsidRDefault="00867A47" w:rsidP="00EF5785">
      <w:pPr>
        <w:pStyle w:val="NormalWeb"/>
        <w:spacing w:after="0" w:line="360" w:lineRule="auto"/>
        <w:jc w:val="center"/>
        <w:rPr>
          <w:color w:val="000000"/>
          <w:sz w:val="18"/>
          <w:szCs w:val="18"/>
          <w:lang w:val="en-GB"/>
        </w:rPr>
      </w:pPr>
      <w:r>
        <w:rPr>
          <w:color w:val="000000"/>
          <w:sz w:val="18"/>
          <w:szCs w:val="18"/>
          <w:lang w:val="en-GB"/>
        </w:rPr>
        <w:t>Fig. 19 BOLD pre-stimulus activity and stimulus response for each difficulty level and each visual area averaged across subjects.</w:t>
      </w:r>
    </w:p>
    <w:p w:rsidR="00EF5785" w:rsidRDefault="00EF5785" w:rsidP="00EF5785">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color w:val="000000"/>
          <w:lang w:val="en-GB"/>
        </w:rPr>
        <w:t>3.4.7 Discussion</w:t>
      </w:r>
    </w:p>
    <w:p w:rsidR="00867A47" w:rsidRDefault="00867A47" w:rsidP="00867A47">
      <w:pPr>
        <w:pStyle w:val="NormalWeb"/>
        <w:spacing w:after="0" w:line="360" w:lineRule="auto"/>
        <w:rPr>
          <w:lang w:val="en-GB"/>
        </w:rPr>
      </w:pPr>
    </w:p>
    <w:p w:rsidR="00867A47" w:rsidRPr="00867A47" w:rsidRDefault="00867A47" w:rsidP="00CC3A24">
      <w:pPr>
        <w:pStyle w:val="NormalWeb"/>
        <w:spacing w:after="0" w:line="360" w:lineRule="auto"/>
        <w:ind w:firstLine="708"/>
        <w:jc w:val="both"/>
        <w:rPr>
          <w:lang w:val="en-US"/>
        </w:rPr>
      </w:pPr>
      <w:r>
        <w:rPr>
          <w:color w:val="000000"/>
          <w:lang w:val="en-GB"/>
        </w:rPr>
        <w:t xml:space="preserve">We hypothesized that increasing the difficulty level of the task would cause an increase of attentional load on the subject, resulting in an increased magnitude of the stimulus evoked response due to increased attentional modulation. Thus, if the two modulations are part of the same process, the pre-stimulus activity at the cue onset should behave in the same way. The results show, in accordance with the literature, that increasing difficulty levels result in an increase in the stimulus evoked response. This means that the subject is forced to pay more attention for hard trials than for easy ones, thus the stimulus evoked response in hard trials is stronger than in easy tasks. A paper from Sylvester (2009), published during the course of this work, argued that pre-stimulus activity and stimulus evoked response reflect a common additive signal. They analysed the two processes on a trial by trial basis. With this analysis they show a correlation between the two events such that an increase in pre-stimulus activity is associated with an increase in stimulus evoked response. Thus in our experiment we expect that on average, an increase seen for the stimulus evoked response between difficulty levels would be seen also in pre-stimulus activity. Our results are in line with this idea. </w:t>
      </w:r>
      <w:r>
        <w:rPr>
          <w:lang w:val="en-GB"/>
        </w:rPr>
        <w:t>These data suggest that at the level of BOLD responses in visual cortex, spatial attention operates as an additive signal that can be generated in the absence of a visual stimulus. This signal behaves as a preparatory modulation of the visual cortex only in the retinotopic location where the stimulus is expected to be displayed, reinforcing the idea that the two events reflect two parts of the same process. The additive effect of attention on the BOLD signal is generated in the absence of visual stimulation, then stimulus-evoked activity adds to this pre-existing bias, resulting in increased activity for attended stimuli relative to unattended stimuli, as shown in the literature.</w:t>
      </w:r>
      <w:r>
        <w:rPr>
          <w:rFonts w:ascii="MS Mincho" w:eastAsia="MS Mincho" w:hAnsi="MS Mincho"/>
          <w:lang w:val="en-GB"/>
        </w:rPr>
        <w:t xml:space="preserve"> </w:t>
      </w:r>
    </w:p>
    <w:p w:rsidR="00867A47" w:rsidRDefault="00867A47" w:rsidP="00867A47">
      <w:pPr>
        <w:pStyle w:val="NormalWeb"/>
        <w:spacing w:after="0" w:line="360" w:lineRule="auto"/>
        <w:rPr>
          <w:lang w:val="en-GB"/>
        </w:rPr>
      </w:pPr>
    </w:p>
    <w:p w:rsidR="00867A47" w:rsidRPr="00650134" w:rsidRDefault="00867A47" w:rsidP="000262BE">
      <w:pPr>
        <w:pStyle w:val="NormalWeb"/>
        <w:spacing w:after="0" w:line="360" w:lineRule="auto"/>
        <w:outlineLvl w:val="0"/>
        <w:rPr>
          <w:b/>
          <w:lang w:val="en-GB"/>
        </w:rPr>
      </w:pPr>
      <w:r w:rsidRPr="00650134">
        <w:rPr>
          <w:b/>
          <w:color w:val="000000"/>
          <w:lang w:val="en-GB"/>
        </w:rPr>
        <w:t>Chapter 3.5 Experiment 4</w:t>
      </w:r>
      <w:r w:rsidR="00D34194">
        <w:rPr>
          <w:b/>
          <w:color w:val="000000"/>
          <w:lang w:val="en-GB"/>
        </w:rPr>
        <w:t>- Combining feature based and spatial location based prestimulus attentional modulation.</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lang w:val="en-GB"/>
        </w:rPr>
        <w:t>3.5.1 Introduction</w:t>
      </w:r>
    </w:p>
    <w:p w:rsidR="00867A47" w:rsidRDefault="00867A47" w:rsidP="00867A47">
      <w:pPr>
        <w:pStyle w:val="NormalWeb"/>
        <w:spacing w:after="0" w:line="360" w:lineRule="auto"/>
        <w:rPr>
          <w:lang w:val="en-GB"/>
        </w:rPr>
      </w:pPr>
    </w:p>
    <w:p w:rsidR="00867A47" w:rsidRPr="00867A47" w:rsidRDefault="00867A47" w:rsidP="00CC3A24">
      <w:pPr>
        <w:pStyle w:val="NormalWeb"/>
        <w:spacing w:after="0" w:line="360" w:lineRule="auto"/>
        <w:ind w:firstLine="708"/>
        <w:jc w:val="both"/>
        <w:rPr>
          <w:lang w:val="en-US"/>
        </w:rPr>
      </w:pPr>
      <w:r>
        <w:rPr>
          <w:rFonts w:ascii="Times-Roman" w:hAnsi="Times-Roman"/>
          <w:color w:val="000000"/>
          <w:lang w:val="en-GB"/>
        </w:rPr>
        <w:t>Although most studies of visual attention have examined the effects of shifting attention between locations in the visual field, attention can be directed also to a particular feature such as colour, orientation or motion. In addition, not only is spatial attention able to affect neural activity in the visual cortex without visual stimulation (</w:t>
      </w:r>
      <w:r>
        <w:rPr>
          <w:rFonts w:ascii="Times-Roman" w:hAnsi="Times-Roman"/>
          <w:color w:val="141413"/>
          <w:lang w:val="en-GB"/>
        </w:rPr>
        <w:t>Luck et al., 1997; Chawla, Ress and Friston, 1999; Kastner et al., 1999; Hopfinger et al., 2000; Fries et al., 2001; Wylie et al., 2006; Silver et al., 2007) but also feature based attention can affect neural activity in the visual cortex when a subject is cued to a particular feature (S</w:t>
      </w:r>
      <w:r w:rsidR="00D34194">
        <w:rPr>
          <w:rFonts w:ascii="Times-Roman" w:hAnsi="Times-Roman"/>
          <w:color w:val="141413"/>
          <w:lang w:val="en-GB"/>
        </w:rPr>
        <w:t>hibata et al., 2008</w:t>
      </w:r>
      <w:r>
        <w:rPr>
          <w:rFonts w:ascii="Times-Roman" w:hAnsi="Times-Roman"/>
          <w:color w:val="141413"/>
          <w:lang w:val="en-GB"/>
        </w:rPr>
        <w:t>). Moreover it has been found that different subsets of top-down control are driving attentional modulations in the early visual cortex during spatial and feature based attentional cueing (Giesbrecht et al., 2003, NeuroImage). Finally, it has been suggested that pre-stimulus baseline increases contribute in an additive way to the attentional response when the stimulus appears (Sylvester et al., 2009). Therefore it is interesting to try to understand what occurs when those two pre-stimulus modulations are combined together and in what way they contribute together to the final stimulus response. If those two kinds of attention, driven by different cortical areas, are both influencing activity in the visual cortex, then several possibilities are plausible. First they may interact in an additive way, resulting in an increase in responses for both pre-stimulus activity and stimulus response. It is possible also that they do not interact and that one type of attention dominates or suppresses the other one, It is also interesting to analyze the two modulations in the unattended locations. It is known that pre-stimulus activity driven by a feature based cue occurs not only at the particular retinotopic location but in the whole visual field. Under this point of view, cueing the subject for both a particular location and a particular feature might eliminate this effect. Finally, cueing for a particular feature might only boost neural responses for the neural correlates to that particular feature. Under this scenario, cueing for one feature (motion) or another (colour) might result in affecting different neural substrates. We therefore conducted an experiment involving both types of attention in the hope of casting light on the nature of the interaction occurring between the two types. As well as examining response magnitudes as in previous experiments, we also used multi-voxel pattern analysis (MVPA) to test the idea that in pre-stimulus activity we might be able to identify different patterns of activity that depend on which particular feature has been cued. MVPA should recognise different pattern of response depending on the particular feature cued (see chapter 2).</w:t>
      </w:r>
    </w:p>
    <w:p w:rsidR="00EF5785" w:rsidRDefault="00EF5785" w:rsidP="00867A47">
      <w:pPr>
        <w:pStyle w:val="NormalWeb"/>
        <w:spacing w:after="0" w:line="360" w:lineRule="auto"/>
        <w:rPr>
          <w:lang w:val="en-GB"/>
        </w:rPr>
      </w:pPr>
    </w:p>
    <w:p w:rsidR="00EF5785" w:rsidRDefault="00EF5785"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lang w:val="en-GB"/>
        </w:rPr>
        <w:t>3.5.2 Methods</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lang w:val="en-GB"/>
        </w:rPr>
        <w:t>Three different trial types were used, intermixed randomly in each of the first eight runs.</w:t>
      </w:r>
      <w:r w:rsidR="00D34194">
        <w:rPr>
          <w:lang w:val="en-GB"/>
        </w:rPr>
        <w:t xml:space="preserve"> 8 subjects took part at the experiment (5 male 3 female, age 30 +/- 3).</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i/>
          <w:iCs/>
          <w:lang w:val="en-GB"/>
        </w:rPr>
        <w:t>Task structure</w:t>
      </w:r>
    </w:p>
    <w:p w:rsidR="00867A47" w:rsidRPr="00867A47" w:rsidRDefault="00867A47" w:rsidP="00CC3A24">
      <w:pPr>
        <w:pStyle w:val="NormalWeb"/>
        <w:spacing w:after="0" w:line="360" w:lineRule="auto"/>
        <w:ind w:firstLine="708"/>
        <w:jc w:val="both"/>
        <w:rPr>
          <w:lang w:val="en-US"/>
        </w:rPr>
      </w:pPr>
      <w:r>
        <w:rPr>
          <w:lang w:val="en-GB"/>
        </w:rPr>
        <w:t>Each trial consisted of a cue followed by a stimulus. The cue was visualized for 300 msec and the stimulus for 500 msec. Between the cue and the stimulus the screen was blank, apart from the fixation square, for a Poisson distributed random time (Hagberg et al., 2001) between 6 and 13 sec with mean 6. Trials were separated from each other by an inter-trial interval in which the screen was empty apart from the fixation square. The interval varied between 3 and 13 sec with a Poisson probability distribution (Hagberg et al., 2001). The mean interval was 6 sec, the maximum and minimum were 13 sec and 3 sec and the interval varied in steps of 0.5 sec. Each run lasted an average of 4 min and 30 sec (20 trials each run). The scan duration was 45 minutes, including the anatomical scan.</w:t>
      </w:r>
    </w:p>
    <w:p w:rsidR="00867A47" w:rsidRDefault="00867A47" w:rsidP="00867A47">
      <w:pPr>
        <w:pStyle w:val="NormalWeb"/>
        <w:spacing w:after="0" w:line="360" w:lineRule="auto"/>
        <w:rPr>
          <w:lang w:val="en-GB"/>
        </w:rPr>
      </w:pPr>
    </w:p>
    <w:p w:rsidR="00867A47" w:rsidRDefault="00867A47" w:rsidP="000262BE">
      <w:pPr>
        <w:pStyle w:val="NormalWeb"/>
        <w:spacing w:after="0" w:line="360" w:lineRule="auto"/>
        <w:outlineLvl w:val="0"/>
        <w:rPr>
          <w:lang w:val="en-GB"/>
        </w:rPr>
      </w:pPr>
      <w:r>
        <w:rPr>
          <w:i/>
          <w:iCs/>
          <w:lang w:val="en-GB"/>
        </w:rPr>
        <w:t>Trial types</w:t>
      </w:r>
    </w:p>
    <w:p w:rsidR="0001686F" w:rsidRDefault="00867A47" w:rsidP="00CC3A24">
      <w:pPr>
        <w:pStyle w:val="NormalWeb"/>
        <w:spacing w:after="0" w:line="360" w:lineRule="auto"/>
        <w:ind w:firstLine="708"/>
        <w:jc w:val="both"/>
        <w:rPr>
          <w:lang w:val="en-GB"/>
        </w:rPr>
      </w:pPr>
      <w:r>
        <w:rPr>
          <w:lang w:val="en-GB"/>
        </w:rPr>
        <w:t>The “location cue task” is designed to allow extraction of the pre-stimulus activity signal in a condition that involves spatial attention. The cue was an arrow at fixation pointing to one of four different locations (the four quadrants). The task was 50% of the time a colour discrimination task and 50% of the time a movement discrimination task. The two tasks were randomly intermixed within each scan run and the nature of the task was not cued but was signalled only by the nature of the stimulus when it appeared at the cued location. The location cue was always valid. The stimulus was composed of moving dots seen through a circular aperture confined to an eccentricity of 3-6 deg., presented in the quadrant indicated by the cue. For the “motion task” all dots were white. Some dots were signal dots (moved in a common direction, either right or left) and some were direction noise dots (moved in random directions). Motion coherence was just above threshold. The subject had to respond as to whether global motion was to the left or to the right. For the “colour task” some dots were red, some green, chosen at random but with unequal probability. All the dots moved in random directions. The proportion of red and green dots was varied and the subject had to respond as to whether the green or red dots were more numerous. Again, the difference was just above threshold.</w:t>
      </w:r>
    </w:p>
    <w:p w:rsidR="00867A47" w:rsidRPr="0001686F" w:rsidRDefault="00867A47" w:rsidP="00CC3A24">
      <w:pPr>
        <w:pStyle w:val="NormalWeb"/>
        <w:spacing w:after="0" w:line="360" w:lineRule="auto"/>
        <w:ind w:firstLine="708"/>
        <w:jc w:val="both"/>
        <w:rPr>
          <w:lang w:val="en-GB"/>
        </w:rPr>
      </w:pPr>
      <w:r>
        <w:rPr>
          <w:lang w:val="en-GB"/>
        </w:rPr>
        <w:t xml:space="preserve">The “feature cue task” is aimed at extracting the pre-stimulus activity signal in a condition that involves feature-based attention. The cue was a C or a M at fixation indicating the feature to be attended (colour or motion). The task was colour discrimination or movement discrimination according to the cue (50% of the time each). C and M trials were randomly mixed within each run. Only one stimulus at a time was displayed and the location was randomly chosen in one of the four quadrants. Spatial location was not cued. </w:t>
      </w:r>
    </w:p>
    <w:p w:rsidR="00867A47" w:rsidRPr="00867A47" w:rsidRDefault="00867A47" w:rsidP="00CC3A24">
      <w:pPr>
        <w:pStyle w:val="NormalWeb"/>
        <w:spacing w:after="0" w:line="360" w:lineRule="auto"/>
        <w:ind w:firstLine="708"/>
        <w:jc w:val="both"/>
        <w:rPr>
          <w:lang w:val="en-US"/>
        </w:rPr>
      </w:pPr>
      <w:r>
        <w:rPr>
          <w:lang w:val="en-GB"/>
        </w:rPr>
        <w:t>The “feature &amp; location cue task” is designed to extract pre-stimulus activity in a condition that involves both spatial and feature based attention. The cue was the combination of the two cues of the other two tasks. The cue was always valid for both the type of task and the location.</w:t>
      </w:r>
    </w:p>
    <w:p w:rsidR="00867A47" w:rsidRDefault="001E4FCF" w:rsidP="001E4FCF">
      <w:pPr>
        <w:pStyle w:val="NormalWeb"/>
        <w:spacing w:after="0" w:line="360" w:lineRule="auto"/>
        <w:jc w:val="center"/>
        <w:rPr>
          <w:lang w:val="en-US"/>
        </w:rPr>
      </w:pPr>
      <w:r>
        <w:rPr>
          <w:noProof/>
          <w:lang w:val="en-GB" w:eastAsia="en-GB"/>
        </w:rPr>
        <w:drawing>
          <wp:inline distT="0" distB="0" distL="0" distR="0">
            <wp:extent cx="2620800" cy="2339705"/>
            <wp:effectExtent l="19050" t="0" r="810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620800" cy="2339705"/>
                    </a:xfrm>
                    <a:prstGeom prst="rect">
                      <a:avLst/>
                    </a:prstGeom>
                    <a:noFill/>
                    <a:ln w="9525">
                      <a:noFill/>
                      <a:miter lim="800000"/>
                      <a:headEnd/>
                      <a:tailEnd/>
                    </a:ln>
                  </pic:spPr>
                </pic:pic>
              </a:graphicData>
            </a:graphic>
          </wp:inline>
        </w:drawing>
      </w:r>
    </w:p>
    <w:p w:rsidR="0001686F" w:rsidRDefault="0001686F" w:rsidP="000262BE">
      <w:pPr>
        <w:pStyle w:val="NormalWeb"/>
        <w:spacing w:after="0" w:line="360" w:lineRule="auto"/>
        <w:outlineLvl w:val="0"/>
        <w:rPr>
          <w:sz w:val="18"/>
          <w:szCs w:val="18"/>
          <w:lang w:val="en-GB"/>
        </w:rPr>
      </w:pPr>
      <w:r>
        <w:rPr>
          <w:sz w:val="18"/>
          <w:szCs w:val="18"/>
          <w:lang w:val="en-GB"/>
        </w:rPr>
        <w:t>Fig. 20 Scheme of one trial.</w:t>
      </w:r>
    </w:p>
    <w:p w:rsidR="0001686F" w:rsidRDefault="0001686F" w:rsidP="0001686F">
      <w:pPr>
        <w:pStyle w:val="NormalWeb"/>
        <w:spacing w:after="0" w:line="360" w:lineRule="auto"/>
        <w:rPr>
          <w:lang w:val="en-GB"/>
        </w:rPr>
      </w:pPr>
    </w:p>
    <w:p w:rsidR="00D34194" w:rsidRDefault="00D34194" w:rsidP="000262BE">
      <w:pPr>
        <w:pStyle w:val="NormalWeb"/>
        <w:spacing w:after="0" w:line="360" w:lineRule="auto"/>
        <w:outlineLvl w:val="0"/>
        <w:rPr>
          <w:i/>
          <w:iCs/>
          <w:lang w:val="en-GB"/>
        </w:rPr>
      </w:pPr>
    </w:p>
    <w:p w:rsidR="0001686F" w:rsidRDefault="0001686F" w:rsidP="000262BE">
      <w:pPr>
        <w:pStyle w:val="NormalWeb"/>
        <w:spacing w:after="0" w:line="360" w:lineRule="auto"/>
        <w:outlineLvl w:val="0"/>
        <w:rPr>
          <w:lang w:val="en-GB"/>
        </w:rPr>
      </w:pPr>
      <w:r>
        <w:rPr>
          <w:i/>
          <w:iCs/>
          <w:lang w:val="en-GB"/>
        </w:rPr>
        <w:t>Localizer</w:t>
      </w:r>
    </w:p>
    <w:p w:rsidR="0001686F" w:rsidRDefault="0001686F" w:rsidP="00CC3A24">
      <w:pPr>
        <w:pStyle w:val="NormalWeb"/>
        <w:spacing w:after="0" w:line="360" w:lineRule="auto"/>
        <w:ind w:firstLine="708"/>
        <w:jc w:val="both"/>
        <w:rPr>
          <w:color w:val="000000"/>
          <w:lang w:val="en-GB"/>
        </w:rPr>
      </w:pPr>
      <w:r>
        <w:rPr>
          <w:color w:val="000000"/>
          <w:lang w:val="en-GB"/>
        </w:rPr>
        <w:t xml:space="preserve">The localizer run was performed in order to extract independent ROIs for each stimulated location in the main experiment. We used a block design (15s blocks) in which two stimuli were presented in alternate blocks. In both, the stimulus was a flickering checkerboard seen through circular apertures. In one block type, the four quadrants were stimulated by four circular patches centred on the oblique axes and corresponding to the locations of the dot stimuli used in the main experiment. In the alternate blocks, four similar checkerboard patches were presented but now on the horizontal and vertical meridians. A standard analysis was performed in which the two stimuli were contrasted. Within each visual area (V1, V2) defined by retinotopic mapping, 8 regions of interest (ROI) were extracted based on this contrast, 4 corresponding to the stimulus locations of the main experiment and 4 to intermediate, unstimulated locations. </w:t>
      </w:r>
    </w:p>
    <w:p w:rsidR="0001686F" w:rsidRDefault="0001686F" w:rsidP="0001686F">
      <w:pPr>
        <w:pStyle w:val="NormalWeb"/>
        <w:spacing w:after="0" w:line="360" w:lineRule="auto"/>
        <w:jc w:val="center"/>
        <w:rPr>
          <w:lang w:val="en-US"/>
        </w:rPr>
      </w:pPr>
      <w:r>
        <w:rPr>
          <w:noProof/>
          <w:lang w:val="en-GB" w:eastAsia="en-GB"/>
        </w:rPr>
        <w:drawing>
          <wp:inline distT="0" distB="0" distL="0" distR="0">
            <wp:extent cx="2907030" cy="1282700"/>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2907030" cy="1282700"/>
                    </a:xfrm>
                    <a:prstGeom prst="rect">
                      <a:avLst/>
                    </a:prstGeom>
                    <a:noFill/>
                    <a:ln w="9525">
                      <a:noFill/>
                      <a:miter lim="800000"/>
                      <a:headEnd/>
                      <a:tailEnd/>
                    </a:ln>
                  </pic:spPr>
                </pic:pic>
              </a:graphicData>
            </a:graphic>
          </wp:inline>
        </w:drawing>
      </w:r>
    </w:p>
    <w:p w:rsidR="0001686F" w:rsidRDefault="0001686F" w:rsidP="000262BE">
      <w:pPr>
        <w:pStyle w:val="NormalWeb"/>
        <w:spacing w:after="0" w:line="360" w:lineRule="auto"/>
        <w:outlineLvl w:val="0"/>
        <w:rPr>
          <w:lang w:val="en-GB"/>
        </w:rPr>
      </w:pPr>
      <w:r>
        <w:rPr>
          <w:color w:val="000000"/>
          <w:sz w:val="18"/>
          <w:szCs w:val="18"/>
          <w:lang w:val="en-GB"/>
        </w:rPr>
        <w:t>Fig. 21 Localizer.</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color w:val="000000"/>
          <w:lang w:val="en-GB"/>
        </w:rPr>
        <w:t>3.5.3 Results</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i/>
          <w:iCs/>
          <w:color w:val="000000"/>
          <w:lang w:val="en-GB"/>
        </w:rPr>
        <w:t>Response magnitude</w:t>
      </w:r>
    </w:p>
    <w:p w:rsidR="0001686F" w:rsidRDefault="0001686F" w:rsidP="00CC3A24">
      <w:pPr>
        <w:pStyle w:val="NormalWeb"/>
        <w:spacing w:after="0" w:line="360" w:lineRule="auto"/>
        <w:ind w:firstLine="708"/>
        <w:jc w:val="both"/>
        <w:rPr>
          <w:color w:val="000000"/>
          <w:lang w:val="en-GB"/>
        </w:rPr>
      </w:pPr>
      <w:r>
        <w:rPr>
          <w:color w:val="000000"/>
          <w:lang w:val="en-GB"/>
        </w:rPr>
        <w:t>In Fig.</w:t>
      </w:r>
      <w:r w:rsidR="00813A32">
        <w:rPr>
          <w:color w:val="000000"/>
          <w:lang w:val="en-GB"/>
        </w:rPr>
        <w:t xml:space="preserve"> 22</w:t>
      </w:r>
      <w:r>
        <w:rPr>
          <w:color w:val="000000"/>
          <w:lang w:val="en-GB"/>
        </w:rPr>
        <w:t xml:space="preserve"> data from activity due to pre-stimulus activation is shown for each visual area, averaged across 12 participants. </w:t>
      </w:r>
      <w:r>
        <w:rPr>
          <w:lang w:val="en-GB"/>
        </w:rPr>
        <w:t xml:space="preserve">To extract the pure attentional pre-stimulus modulation, the pre-stimulus activity is modelled at each location and the resulting betas are averaged across the 4 locations. </w:t>
      </w:r>
      <w:r w:rsidR="00813A32">
        <w:rPr>
          <w:color w:val="000000"/>
          <w:lang w:val="en-US"/>
        </w:rPr>
        <w:t>To allow comparison with attentional modulation at uncued locations, pre-stimulus activity is also modelled at 4 more locations</w:t>
      </w:r>
      <w:r>
        <w:rPr>
          <w:lang w:val="en-GB"/>
        </w:rPr>
        <w:t>, on the horizontal and vertical meridians, at the same eccentricity as the stimuli (ROIs defined with localizer). Each column refers to one attention condition (location, feature or both) and one location (attended or unattended). The first column is the spatial location cue at the attended locations, second is the spatial location cue in the unattended locations, the third is the feature-based cue at the attended locations, fourth feature-based cue in the unattended locations, fifth feature plus spatial in the attended location, and sixth spatial and feature in unattended locations.</w:t>
      </w:r>
      <w:r>
        <w:rPr>
          <w:color w:val="000000"/>
          <w:sz w:val="18"/>
          <w:szCs w:val="18"/>
          <w:lang w:val="en-GB"/>
        </w:rPr>
        <w:t xml:space="preserve"> </w:t>
      </w:r>
      <w:r>
        <w:rPr>
          <w:color w:val="000000"/>
          <w:lang w:val="en-GB"/>
        </w:rPr>
        <w:t xml:space="preserve">As the overall signal magnitudes are very variable across subjects, we then decided to normalize our data across participants. </w:t>
      </w:r>
      <w:r w:rsidR="00D80848">
        <w:rPr>
          <w:color w:val="000000"/>
          <w:lang w:val="en-GB"/>
        </w:rPr>
        <w:t>This was achieved by divinding for each subject each mesure by the biggest. This would lead for each subject to a range of data between 0 and 1. Then we average across subjects.</w:t>
      </w:r>
    </w:p>
    <w:p w:rsidR="0001686F" w:rsidRDefault="0001686F" w:rsidP="00561484">
      <w:pPr>
        <w:pStyle w:val="NormalWeb"/>
        <w:spacing w:after="0" w:line="360" w:lineRule="auto"/>
        <w:jc w:val="center"/>
        <w:rPr>
          <w:lang w:val="en-US"/>
        </w:rPr>
      </w:pPr>
      <w:r>
        <w:rPr>
          <w:noProof/>
          <w:lang w:val="en-GB" w:eastAsia="en-GB"/>
        </w:rPr>
        <w:drawing>
          <wp:inline distT="0" distB="0" distL="0" distR="0">
            <wp:extent cx="5400000" cy="357349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400000" cy="3573495"/>
                    </a:xfrm>
                    <a:prstGeom prst="rect">
                      <a:avLst/>
                    </a:prstGeom>
                    <a:noFill/>
                    <a:ln w="9525">
                      <a:noFill/>
                      <a:miter lim="800000"/>
                      <a:headEnd/>
                      <a:tailEnd/>
                    </a:ln>
                  </pic:spPr>
                </pic:pic>
              </a:graphicData>
            </a:graphic>
          </wp:inline>
        </w:drawing>
      </w:r>
    </w:p>
    <w:p w:rsidR="00150B99" w:rsidRDefault="0001686F" w:rsidP="0001686F">
      <w:pPr>
        <w:pStyle w:val="NormalWeb"/>
        <w:spacing w:after="0" w:line="360" w:lineRule="auto"/>
        <w:jc w:val="both"/>
        <w:rPr>
          <w:lang w:val="en-GB"/>
        </w:rPr>
      </w:pPr>
      <w:r>
        <w:rPr>
          <w:color w:val="000000"/>
          <w:sz w:val="18"/>
          <w:szCs w:val="18"/>
          <w:lang w:val="en-GB"/>
        </w:rPr>
        <w:t>Fig. 22 Pre stimulus activity for each visual areas and normalized for each visual areas averaged across subjects. The first column is the spatial location cue at the attended locations, second is the spatial location cue in the unattended locations, the third is the feature-based cue at the attended locations, fourth feature-based cue in the unattended locations, fifth feature plus spatial in the attended location, and sixth spatial and feature in unattended locations.</w:t>
      </w:r>
    </w:p>
    <w:p w:rsidR="00150B99" w:rsidRDefault="00150B99" w:rsidP="0001686F">
      <w:pPr>
        <w:pStyle w:val="NormalWeb"/>
        <w:spacing w:after="0" w:line="360" w:lineRule="auto"/>
        <w:jc w:val="both"/>
        <w:rPr>
          <w:color w:val="000000"/>
          <w:lang w:val="en-GB"/>
        </w:rPr>
      </w:pPr>
    </w:p>
    <w:p w:rsidR="0001686F" w:rsidRDefault="00271606" w:rsidP="00CC3A24">
      <w:pPr>
        <w:pStyle w:val="NormalWeb"/>
        <w:spacing w:after="0" w:line="360" w:lineRule="auto"/>
        <w:ind w:firstLine="708"/>
        <w:jc w:val="both"/>
        <w:rPr>
          <w:color w:val="000000"/>
          <w:lang w:val="en-GB"/>
        </w:rPr>
      </w:pPr>
      <w:r>
        <w:rPr>
          <w:color w:val="000000"/>
          <w:lang w:val="en-US"/>
        </w:rPr>
        <w:t>The data for the location cue task (first two columns) suggest that, as expected, greater pre-stimulus activity occurs at the cued location than at the uncued locations. However, there is substantial activity even at the uncued locations, suggesting that spatial attention was not perfect. One possibility is that there was interference between the two tasks, such that there was some (spatially dispersed) attention to features in the spatial trials. However, such contamination was not evident in the opposite direction: for the feature cue task (columns 3 and 4), no difference was found between the two sets of four locations</w:t>
      </w:r>
      <w:r w:rsidR="00D80848">
        <w:rPr>
          <w:color w:val="000000"/>
          <w:lang w:val="en-US"/>
        </w:rPr>
        <w:t xml:space="preserve"> (</w:t>
      </w:r>
      <w:r w:rsidR="00B56A3D">
        <w:rPr>
          <w:color w:val="000000"/>
          <w:lang w:val="en-US"/>
        </w:rPr>
        <w:t>F</w:t>
      </w:r>
      <w:r w:rsidR="009B4A4C">
        <w:rPr>
          <w:color w:val="000000"/>
          <w:lang w:val="en-US"/>
        </w:rPr>
        <w:t>(2.79)</w:t>
      </w:r>
      <w:r w:rsidR="00B56A3D">
        <w:rPr>
          <w:color w:val="000000"/>
          <w:lang w:val="en-US"/>
        </w:rPr>
        <w:t xml:space="preserve">=0.983; </w:t>
      </w:r>
      <w:r w:rsidR="00D80848">
        <w:rPr>
          <w:color w:val="000000"/>
          <w:lang w:val="en-US"/>
        </w:rPr>
        <w:t>p&gt;0.05)</w:t>
      </w:r>
      <w:r>
        <w:rPr>
          <w:color w:val="000000"/>
          <w:lang w:val="en-US"/>
        </w:rPr>
        <w:t>. This confirms previous studies showing that feature-based attention is not spatially specific but spreads everywhere in the visual field, and suggests that feature-based attention was efficient and was uncontaminated by the interspersed spatial attention trials. The largest response was obtained with the combined cue. However, this condition was not significantly different from the cases in which feature-based cue and spatial cue were presented alone, either in the raw data (where variance across subjects was large in the combined condition), or in the normalized data (where the difference between conditions was relatively small). This makes quantitative analysis of the combination rule unreliable.  In the raw data, spatial attention and feature-based attention appear to combine approximately additively but in the normalized data the combination is clearly sub-additive.</w:t>
      </w:r>
      <w:r w:rsidR="0001686F">
        <w:rPr>
          <w:color w:val="000000"/>
          <w:lang w:val="en-GB"/>
        </w:rPr>
        <w:t xml:space="preserve">. </w:t>
      </w:r>
    </w:p>
    <w:p w:rsidR="00EF5785" w:rsidRPr="0001686F" w:rsidRDefault="00EF5785" w:rsidP="00CC3A24">
      <w:pPr>
        <w:pStyle w:val="NormalWeb"/>
        <w:spacing w:after="0" w:line="360" w:lineRule="auto"/>
        <w:ind w:firstLine="708"/>
        <w:jc w:val="both"/>
        <w:rPr>
          <w:lang w:val="en-US"/>
        </w:rPr>
      </w:pPr>
    </w:p>
    <w:p w:rsidR="0001686F" w:rsidRDefault="0001686F" w:rsidP="000262BE">
      <w:pPr>
        <w:pStyle w:val="NormalWeb"/>
        <w:spacing w:after="0" w:line="360" w:lineRule="auto"/>
        <w:outlineLvl w:val="0"/>
        <w:rPr>
          <w:lang w:val="en-GB"/>
        </w:rPr>
      </w:pPr>
      <w:r>
        <w:rPr>
          <w:color w:val="000000"/>
          <w:lang w:val="en-GB"/>
        </w:rPr>
        <w:t>3.5.4 Discussion</w:t>
      </w:r>
    </w:p>
    <w:p w:rsidR="0001686F" w:rsidRDefault="0001686F" w:rsidP="0001686F">
      <w:pPr>
        <w:pStyle w:val="NormalWeb"/>
        <w:spacing w:after="0" w:line="360" w:lineRule="auto"/>
        <w:rPr>
          <w:lang w:val="en-GB"/>
        </w:rPr>
      </w:pPr>
    </w:p>
    <w:p w:rsidR="0001686F" w:rsidRPr="0001686F" w:rsidRDefault="0001686F" w:rsidP="00CC3A24">
      <w:pPr>
        <w:pStyle w:val="NormalWeb"/>
        <w:spacing w:after="0" w:line="360" w:lineRule="auto"/>
        <w:ind w:firstLine="708"/>
        <w:jc w:val="both"/>
        <w:rPr>
          <w:lang w:val="en-US"/>
        </w:rPr>
      </w:pPr>
      <w:r>
        <w:rPr>
          <w:color w:val="000000"/>
          <w:lang w:val="en-GB"/>
        </w:rPr>
        <w:t xml:space="preserve">In this study we examined the interactions in pre-stimulus activity between different cues that are related to different attentional modulations in the visual cortex. Our results are in line with previous findings: first, when a subject is cued to a particular location in the visual field, in the cortex we see an activation of the particular retinotopic location that has been cued. Second, if a particular feature has been cued, the pre-stimulus activity is spread across the entire visual area. The interesting point was to see how combining those two kinds of attention would result in the modulations of the visual cortex. It might be that on the basis that </w:t>
      </w:r>
      <w:r>
        <w:rPr>
          <w:rFonts w:ascii="Times-Roman" w:hAnsi="Times-Roman"/>
          <w:color w:val="141413"/>
          <w:lang w:val="en-GB"/>
        </w:rPr>
        <w:t xml:space="preserve">different subsets of top-down control are driving attentional modulations in the early visual cortex during spatial and feature based attentional cueing (Giesbrecht et al., 2003, NeuroImage), the combination of the two would result in a modulation in the visual cortex that might be the sum of the two or might reflect predominance of one of the two. </w:t>
      </w:r>
      <w:r w:rsidR="00A73FA7">
        <w:rPr>
          <w:color w:val="101010"/>
          <w:lang w:val="en-US"/>
        </w:rPr>
        <w:t>Interestingly, at least if we consider the normalized data so that all participants contribute equally, the results show that combining those two cues produces little if any increase in the strength of activation compared with the case where only one of the cues is used.</w:t>
      </w:r>
      <w:r>
        <w:rPr>
          <w:rFonts w:ascii="Times-Roman" w:hAnsi="Times-Roman"/>
          <w:color w:val="141413"/>
          <w:lang w:val="en-GB"/>
        </w:rPr>
        <w:t xml:space="preserve">. This was the same for attended and unattended locations, indicating that there might be a saturation of the attentional resources in the BOLD responses in the visual cortex. Finally we used MVPA to see if, in the case of cueing for a particular feature, this would result in modulating different neural subsets in the visual areas, depending on the particular cued feature. MVPA was not able to extract different patterns of activation either in attended or unattended locations. This might be linked to the fact that V1 and V2 do not respond better for one or the other particular features used in this experiment (colour vs. motion) but to some other particular features that were relevant for both the stimuli we used. Another possible explanation is that using an event related design is different than block designs which are more sensitive with less trials, whereas with event related design you might need a larger amount of trials in order to get better results. </w:t>
      </w:r>
    </w:p>
    <w:p w:rsidR="0001686F" w:rsidRDefault="0001686F" w:rsidP="0001686F">
      <w:pPr>
        <w:pStyle w:val="NormalWeb"/>
        <w:spacing w:after="0" w:line="360" w:lineRule="auto"/>
        <w:rPr>
          <w:lang w:val="en-US"/>
        </w:rPr>
      </w:pPr>
    </w:p>
    <w:p w:rsidR="0001686F" w:rsidRPr="00650134" w:rsidRDefault="0001686F" w:rsidP="000262BE">
      <w:pPr>
        <w:pStyle w:val="NormalWeb"/>
        <w:spacing w:after="0" w:line="360" w:lineRule="auto"/>
        <w:outlineLvl w:val="0"/>
        <w:rPr>
          <w:b/>
          <w:lang w:val="en-US"/>
        </w:rPr>
      </w:pPr>
      <w:r w:rsidRPr="00650134">
        <w:rPr>
          <w:b/>
          <w:lang w:val="en-GB"/>
        </w:rPr>
        <w:t>Chapter 3.6 Experiment 5</w:t>
      </w:r>
      <w:r w:rsidR="00D80848">
        <w:rPr>
          <w:b/>
          <w:lang w:val="en-GB"/>
        </w:rPr>
        <w:t xml:space="preserve"> – Attentional prestimulus activity and eye movements</w:t>
      </w:r>
    </w:p>
    <w:p w:rsidR="0001686F" w:rsidRPr="00EF5785" w:rsidRDefault="0001686F" w:rsidP="0001686F">
      <w:pPr>
        <w:pStyle w:val="NormalWeb"/>
        <w:spacing w:after="0" w:line="360" w:lineRule="auto"/>
        <w:rPr>
          <w:lang w:val="en-US"/>
        </w:rPr>
      </w:pPr>
    </w:p>
    <w:p w:rsidR="0001686F" w:rsidRDefault="0001686F" w:rsidP="000262BE">
      <w:pPr>
        <w:pStyle w:val="NormalWeb"/>
        <w:spacing w:after="0" w:line="360" w:lineRule="auto"/>
        <w:outlineLvl w:val="0"/>
        <w:rPr>
          <w:lang w:val="en-GB"/>
        </w:rPr>
      </w:pPr>
      <w:r>
        <w:rPr>
          <w:lang w:val="en-GB"/>
        </w:rPr>
        <w:t>3.6.1 Introduction</w:t>
      </w:r>
    </w:p>
    <w:p w:rsidR="0001686F" w:rsidRDefault="0001686F" w:rsidP="0001686F">
      <w:pPr>
        <w:pStyle w:val="NormalWeb"/>
        <w:spacing w:after="0" w:line="360" w:lineRule="auto"/>
        <w:rPr>
          <w:lang w:val="en-GB"/>
        </w:rPr>
      </w:pPr>
    </w:p>
    <w:p w:rsidR="0001686F" w:rsidRPr="0001686F" w:rsidRDefault="0001686F" w:rsidP="00CC3A24">
      <w:pPr>
        <w:pStyle w:val="NormalWeb"/>
        <w:spacing w:after="0" w:line="360" w:lineRule="auto"/>
        <w:ind w:firstLine="708"/>
        <w:jc w:val="both"/>
        <w:rPr>
          <w:lang w:val="en-US"/>
        </w:rPr>
      </w:pPr>
      <w:r>
        <w:rPr>
          <w:rFonts w:ascii="Times-Roman" w:hAnsi="Times-Roman"/>
          <w:color w:val="141413"/>
          <w:lang w:val="en-GB"/>
        </w:rPr>
        <w:t>Covert attention plays an important role in guiding overt orienting based on eye movements. In particular it appears that eye movements directed to a location in space are preceded by a shift of visual attention to the same location (Deubel &amp; Schneider, 1996; Hoffman &amp; Subramaniam, 1995). Brain imaging studies have supported the idea of a neuroanatomical link between visual spatial attention and eye movement, either by noting that patterns of activations obtained in attention tasks resemble those in oculomotor tasks (e.g., Nobre et al., 1997, 2000; Buchel et al., 1998; Corbetta, 1998a) or by comparing attentional tasks of visual spatial orienting in the presence or absence of eye movements (Corbetta et al., 1998b). The idea that covert attention precedes the eye movement to calculate the exact point of the next fixation leads to the hypothesis that the pre-stimulus baseline increase could guide saccade movements by giving feedback about retinotopic position in the visual areas to the eye movement system, and that the strength of this signal may correlate with saccade latency and accuracy. To test this hypothesis, we created a task in which the subject was required to make a delayed saccade movement cued by a peripheral target (a circle). We modulated the precision of the task by using three different circle sizes. We then compared the means of the BOLD responses for the three circles sizes with the means of the saccade latency and accuracy for each type of event. Moreover, we analyzed BOLD responses and saccade latency and accuracy on a trial by trial basis. If the attentional effort and the accuracy and latency of saccade movements are related, we then expect that the magnitude of BOLD responses would be positively correlated with them. Finally, to control for the fact that the circle itself may elicit a BOLD response, we presented the same circles while the subject was performing a central task.</w:t>
      </w:r>
    </w:p>
    <w:p w:rsidR="002A34F9" w:rsidRDefault="002A34F9"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lang w:val="en-GB"/>
        </w:rPr>
        <w:t>3.6.2 Methods</w:t>
      </w:r>
    </w:p>
    <w:p w:rsidR="0001686F" w:rsidRDefault="0001686F" w:rsidP="0001686F">
      <w:pPr>
        <w:pStyle w:val="NormalWeb"/>
        <w:spacing w:after="0" w:line="360" w:lineRule="auto"/>
        <w:rPr>
          <w:lang w:val="en-GB"/>
        </w:rPr>
      </w:pPr>
    </w:p>
    <w:p w:rsidR="0001686F" w:rsidRDefault="00D80848" w:rsidP="00CC3A24">
      <w:pPr>
        <w:pStyle w:val="NormalWeb"/>
        <w:spacing w:after="0" w:line="360" w:lineRule="auto"/>
        <w:ind w:firstLine="708"/>
        <w:jc w:val="both"/>
        <w:rPr>
          <w:lang w:val="en-GB"/>
        </w:rPr>
      </w:pPr>
      <w:r>
        <w:rPr>
          <w:lang w:val="en-GB"/>
        </w:rPr>
        <w:t xml:space="preserve">8 subjects took part at the experiment (6 female 2 male; age 28 +/- 6). </w:t>
      </w:r>
      <w:r w:rsidR="0001686F">
        <w:rPr>
          <w:lang w:val="en-GB"/>
        </w:rPr>
        <w:t>Each scan run commenced and ended with eye movement calibration. A blue spot starts in the centre, then moves sequentially to each position (top left and top right) where saccades will be required, remaining at each location for 4s. This measurement provides the reference for calculating the error of the saccades made during the run. By calibrating frequently, any drift in the eye measurement system could be discounted.</w:t>
      </w:r>
    </w:p>
    <w:p w:rsidR="0001686F" w:rsidRPr="0001686F" w:rsidRDefault="0001686F" w:rsidP="00CC3A24">
      <w:pPr>
        <w:pStyle w:val="NormalWeb"/>
        <w:spacing w:after="0" w:line="360" w:lineRule="auto"/>
        <w:ind w:firstLine="708"/>
        <w:jc w:val="both"/>
        <w:rPr>
          <w:lang w:val="en-US"/>
        </w:rPr>
      </w:pPr>
      <w:r>
        <w:rPr>
          <w:lang w:val="en-GB"/>
        </w:rPr>
        <w:t>The task involved saccade movement. Each trial was formed by a “prepare” cue, followed by a “go” cue, then by a central task.</w:t>
      </w:r>
    </w:p>
    <w:p w:rsidR="0001686F" w:rsidRPr="0001686F" w:rsidRDefault="0001686F" w:rsidP="00CC3A24">
      <w:pPr>
        <w:pStyle w:val="NormalWeb"/>
        <w:spacing w:after="0" w:line="360" w:lineRule="auto"/>
        <w:ind w:firstLine="708"/>
        <w:jc w:val="both"/>
        <w:rPr>
          <w:lang w:val="en-US"/>
        </w:rPr>
      </w:pPr>
      <w:r>
        <w:rPr>
          <w:color w:val="000000"/>
          <w:lang w:val="en-GB"/>
        </w:rPr>
        <w:t>Between the “prepare” cue and the “go” cue the screen was blank, apart from the fixation square (gray), for a Poisson distributed random time (Hagberg et al., 2001) between 2 and 7 sec with mean 9. The same screen was present between the “go” cue and central task. Trials were separated from each other by an inter-trial interval in which the screen was again empty apart from the fixation square. The interval varied between 6 and 13 sec with a Poisson probability distribution (Hagberg et al., 2001). The mean interval was 6 sec, the maximum and minimum were 12 sec and 4 sec and the interval varied in steps of 0.5 sec.</w:t>
      </w:r>
    </w:p>
    <w:p w:rsidR="0001686F" w:rsidRPr="0001686F" w:rsidRDefault="0001686F" w:rsidP="00CC3A24">
      <w:pPr>
        <w:pStyle w:val="NormalWeb"/>
        <w:spacing w:after="0" w:line="360" w:lineRule="auto"/>
        <w:ind w:firstLine="708"/>
        <w:jc w:val="both"/>
        <w:rPr>
          <w:lang w:val="en-US"/>
        </w:rPr>
      </w:pPr>
      <w:r>
        <w:rPr>
          <w:lang w:val="en-GB"/>
        </w:rPr>
        <w:t>The “prepare” cue consists of a change in colour (green) of the fixation spot and informs the subject that a “saccade” cue is coming soon. It also informs the subject of the location of the saccade to be made by displaying a circle in one of two locations in the visual field (up left or up right). The ring could have 3 different diameters (1, 2, 3 deg.) and its centre was always located at 4 deg of eccentricity from the centre of the visual field. The “prepare” cue was presented for 300 msec and the subject was instructed to attend to the location indicated in readiness for making a saccade to that location.</w:t>
      </w:r>
    </w:p>
    <w:p w:rsidR="0001686F" w:rsidRPr="0001686F" w:rsidRDefault="0001686F" w:rsidP="00CC3A24">
      <w:pPr>
        <w:pStyle w:val="NormalWeb"/>
        <w:spacing w:after="0" w:line="360" w:lineRule="auto"/>
        <w:ind w:firstLine="708"/>
        <w:jc w:val="both"/>
        <w:rPr>
          <w:lang w:val="en-US"/>
        </w:rPr>
      </w:pPr>
      <w:r>
        <w:rPr>
          <w:lang w:val="en-GB"/>
        </w:rPr>
        <w:t>The “go” cue consisted of another change of the colour of the fixation spot of 300msec (red). The subject was instructed to perform an immediate saccade on seeing the “go” cue. The saccade was to be made to the attended location, as quickly and as accurately as possible, followed by a return saccade back to fixation. The subject was told that the saccade must land within the location of the circle. This means that the precision of the required saccade varies with circle size and it was hoped that this would modulate the attentional demand accordingly.</w:t>
      </w:r>
    </w:p>
    <w:p w:rsidR="0001686F" w:rsidRDefault="0001686F" w:rsidP="00CC3A24">
      <w:pPr>
        <w:pStyle w:val="NormalWeb"/>
        <w:spacing w:after="0" w:line="360" w:lineRule="auto"/>
        <w:ind w:firstLine="708"/>
        <w:jc w:val="both"/>
        <w:rPr>
          <w:lang w:val="en-GB"/>
        </w:rPr>
      </w:pPr>
      <w:r>
        <w:rPr>
          <w:lang w:val="en-GB"/>
        </w:rPr>
        <w:t>The central task, performed after the return saccade, consisted of a change in luminance of the fixation spot of 300 msec. As soon as the subject perceived this change, they had to report, by pressing one of two buttons, whether the fixation spot became brighter or darker. At the same time a circle with the same size and location of the previous “prepare” cue was visualized. The subject was instructed to ignore it and attend only to the luminance change at fixation. This was meant to extract the unattended response to the circle stimuli, to then compare it with the response obtained during attention to the cued location, in order to dissociate the stimulus-driven and attention-related components of the response obtained between the “prepare” and “go” cues.</w:t>
      </w:r>
    </w:p>
    <w:p w:rsidR="0001686F" w:rsidRDefault="0001686F" w:rsidP="0001686F">
      <w:pPr>
        <w:pStyle w:val="NormalWeb"/>
        <w:spacing w:after="0" w:line="360" w:lineRule="auto"/>
        <w:jc w:val="center"/>
        <w:rPr>
          <w:lang w:val="en-US"/>
        </w:rPr>
      </w:pPr>
      <w:r>
        <w:rPr>
          <w:noProof/>
          <w:lang w:val="en-GB" w:eastAsia="en-GB"/>
        </w:rPr>
        <w:drawing>
          <wp:inline distT="0" distB="0" distL="0" distR="0">
            <wp:extent cx="3016149" cy="2800800"/>
            <wp:effectExtent l="1905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3016149" cy="2800800"/>
                    </a:xfrm>
                    <a:prstGeom prst="rect">
                      <a:avLst/>
                    </a:prstGeom>
                    <a:noFill/>
                    <a:ln w="9525">
                      <a:noFill/>
                      <a:miter lim="800000"/>
                      <a:headEnd/>
                      <a:tailEnd/>
                    </a:ln>
                  </pic:spPr>
                </pic:pic>
              </a:graphicData>
            </a:graphic>
          </wp:inline>
        </w:drawing>
      </w:r>
    </w:p>
    <w:p w:rsidR="0001686F" w:rsidRDefault="00084966" w:rsidP="000262BE">
      <w:pPr>
        <w:pStyle w:val="NormalWeb"/>
        <w:spacing w:after="0" w:line="360" w:lineRule="auto"/>
        <w:jc w:val="both"/>
        <w:outlineLvl w:val="0"/>
        <w:rPr>
          <w:lang w:val="en-GB"/>
        </w:rPr>
      </w:pPr>
      <w:r>
        <w:rPr>
          <w:sz w:val="18"/>
          <w:szCs w:val="18"/>
          <w:lang w:val="en-GB"/>
        </w:rPr>
        <w:t>Fig.23</w:t>
      </w:r>
      <w:r w:rsidR="0001686F">
        <w:rPr>
          <w:sz w:val="18"/>
          <w:szCs w:val="18"/>
          <w:lang w:val="en-GB"/>
        </w:rPr>
        <w:t xml:space="preserve"> Scheme of one trial.</w:t>
      </w:r>
    </w:p>
    <w:p w:rsidR="0001686F" w:rsidRDefault="0001686F" w:rsidP="0001686F">
      <w:pPr>
        <w:pStyle w:val="NormalWeb"/>
        <w:spacing w:after="0" w:line="360" w:lineRule="auto"/>
        <w:rPr>
          <w:i/>
          <w:iCs/>
          <w:lang w:val="en-GB"/>
        </w:rPr>
      </w:pPr>
    </w:p>
    <w:p w:rsidR="0001686F" w:rsidRDefault="0001686F" w:rsidP="000262BE">
      <w:pPr>
        <w:pStyle w:val="NormalWeb"/>
        <w:spacing w:after="0" w:line="360" w:lineRule="auto"/>
        <w:outlineLvl w:val="0"/>
        <w:rPr>
          <w:i/>
          <w:iCs/>
          <w:lang w:val="en-GB"/>
        </w:rPr>
      </w:pPr>
      <w:r>
        <w:rPr>
          <w:i/>
          <w:iCs/>
          <w:lang w:val="en-GB"/>
        </w:rPr>
        <w:t>Localizer</w:t>
      </w:r>
    </w:p>
    <w:p w:rsidR="0001686F" w:rsidRDefault="0001686F" w:rsidP="00CC3A24">
      <w:pPr>
        <w:pStyle w:val="NormalWeb"/>
        <w:spacing w:after="0" w:line="360" w:lineRule="auto"/>
        <w:ind w:firstLine="708"/>
        <w:jc w:val="both"/>
        <w:rPr>
          <w:color w:val="000000"/>
          <w:lang w:val="en-GB"/>
        </w:rPr>
      </w:pPr>
      <w:r>
        <w:rPr>
          <w:lang w:val="en-GB"/>
        </w:rPr>
        <w:t xml:space="preserve">The localizer run was performed in order to extract ROIs for each stimulated location in the main experiment. We used a block design (15s blocks) in which circular patches (confined to an eccentricity of 3-6 deg.) of the oblique (45 deg) axes are stimulated in one block and circular patches on the horizontal and vertical meridians are stimulated in the other. Since all saccade targets were in the upper visual field, only the sectors in the upper visual field were presented (2 at ±45, 3 for the vertical and horizontal meridians). </w:t>
      </w:r>
      <w:r>
        <w:rPr>
          <w:color w:val="000000"/>
          <w:lang w:val="en-GB"/>
        </w:rPr>
        <w:t>Within each visual area (V1, V2) defined by retinotopic mapping, 2 regions of interest (ROI) were extracted based on the activations due to the circular patches on the 45deg axes.</w:t>
      </w:r>
    </w:p>
    <w:p w:rsidR="0001686F" w:rsidRDefault="0001686F" w:rsidP="0001686F">
      <w:pPr>
        <w:pStyle w:val="NormalWeb"/>
        <w:spacing w:after="0" w:line="360" w:lineRule="auto"/>
        <w:jc w:val="center"/>
        <w:rPr>
          <w:lang w:val="en-US"/>
        </w:rPr>
      </w:pPr>
      <w:r>
        <w:rPr>
          <w:noProof/>
          <w:lang w:val="en-GB" w:eastAsia="en-GB"/>
        </w:rPr>
        <w:drawing>
          <wp:inline distT="0" distB="0" distL="0" distR="0">
            <wp:extent cx="2907030" cy="1282700"/>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907030" cy="1282700"/>
                    </a:xfrm>
                    <a:prstGeom prst="rect">
                      <a:avLst/>
                    </a:prstGeom>
                    <a:noFill/>
                    <a:ln w="9525">
                      <a:noFill/>
                      <a:miter lim="800000"/>
                      <a:headEnd/>
                      <a:tailEnd/>
                    </a:ln>
                  </pic:spPr>
                </pic:pic>
              </a:graphicData>
            </a:graphic>
          </wp:inline>
        </w:drawing>
      </w:r>
    </w:p>
    <w:p w:rsidR="0001686F" w:rsidRDefault="00084966" w:rsidP="000262BE">
      <w:pPr>
        <w:pStyle w:val="NormalWeb"/>
        <w:spacing w:after="0" w:line="360" w:lineRule="auto"/>
        <w:outlineLvl w:val="0"/>
        <w:rPr>
          <w:lang w:val="en-GB"/>
        </w:rPr>
      </w:pPr>
      <w:r>
        <w:rPr>
          <w:sz w:val="18"/>
          <w:szCs w:val="18"/>
          <w:lang w:val="en-GB"/>
        </w:rPr>
        <w:t>Fig.24</w:t>
      </w:r>
      <w:r w:rsidR="0001686F">
        <w:rPr>
          <w:sz w:val="18"/>
          <w:szCs w:val="18"/>
          <w:lang w:val="en-GB"/>
        </w:rPr>
        <w:t xml:space="preserve"> Localizer.</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color w:val="000000"/>
          <w:lang w:val="en-GB"/>
        </w:rPr>
        <w:t>3.6.3 Results</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i/>
          <w:iCs/>
          <w:color w:val="000000"/>
          <w:lang w:val="en-GB"/>
        </w:rPr>
        <w:t>Imaging data</w:t>
      </w:r>
    </w:p>
    <w:p w:rsidR="0001686F" w:rsidRDefault="0001686F" w:rsidP="00CC3A24">
      <w:pPr>
        <w:pStyle w:val="NormalWeb"/>
        <w:spacing w:after="0" w:line="360" w:lineRule="auto"/>
        <w:ind w:firstLine="708"/>
        <w:jc w:val="both"/>
        <w:rPr>
          <w:color w:val="000000"/>
          <w:lang w:val="en-GB"/>
        </w:rPr>
      </w:pPr>
      <w:r>
        <w:rPr>
          <w:color w:val="000000"/>
          <w:lang w:val="en-GB"/>
        </w:rPr>
        <w:t>Figure shows responses for the circles (each size) for both the “prepare” cue events and the central task event (V1 and V2 averaged across participants). Surprisingly, there were no significant differences between the two events</w:t>
      </w:r>
      <w:r w:rsidR="00D80848">
        <w:rPr>
          <w:color w:val="000000"/>
          <w:lang w:val="en-GB"/>
        </w:rPr>
        <w:t xml:space="preserve"> (</w:t>
      </w:r>
      <w:r w:rsidR="00B56A3D">
        <w:rPr>
          <w:color w:val="000000"/>
          <w:lang w:val="en-GB"/>
        </w:rPr>
        <w:t>F</w:t>
      </w:r>
      <w:r w:rsidR="009B4A4C">
        <w:rPr>
          <w:color w:val="000000"/>
          <w:lang w:val="en-GB"/>
        </w:rPr>
        <w:t>(3.37)</w:t>
      </w:r>
      <w:r w:rsidR="00B56A3D">
        <w:rPr>
          <w:color w:val="000000"/>
          <w:lang w:val="en-GB"/>
        </w:rPr>
        <w:t xml:space="preserve">=0.991; </w:t>
      </w:r>
      <w:r w:rsidR="00D80848">
        <w:rPr>
          <w:color w:val="000000"/>
          <w:lang w:val="en-GB"/>
        </w:rPr>
        <w:t>p&gt;0.05)</w:t>
      </w:r>
      <w:r>
        <w:rPr>
          <w:color w:val="000000"/>
          <w:lang w:val="en-GB"/>
        </w:rPr>
        <w:t xml:space="preserve">. The response to a circle followed by attention to that location is no greater than the response to an unattended circle. We were expecting that subjects would focus their attention at the location where the circle appeared in order to prepare to perform the saccade, and that this would lead to an increase in BOLD response. The results suggest that subjects might use a different strategy in order to solve the saccade task (e.g. they try to keep in memory the circle size and the location instead of focusing their attention). </w:t>
      </w:r>
    </w:p>
    <w:p w:rsidR="0001686F" w:rsidRDefault="0001686F" w:rsidP="00561484">
      <w:pPr>
        <w:pStyle w:val="NormalWeb"/>
        <w:spacing w:after="0" w:line="360" w:lineRule="auto"/>
        <w:jc w:val="center"/>
        <w:rPr>
          <w:lang w:val="en-US"/>
        </w:rPr>
      </w:pPr>
      <w:r>
        <w:rPr>
          <w:noProof/>
          <w:lang w:val="en-GB" w:eastAsia="en-GB"/>
        </w:rPr>
        <w:drawing>
          <wp:inline distT="0" distB="0" distL="0" distR="0">
            <wp:extent cx="5400000" cy="2087740"/>
            <wp:effectExtent l="1905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5400000" cy="2087740"/>
                    </a:xfrm>
                    <a:prstGeom prst="rect">
                      <a:avLst/>
                    </a:prstGeom>
                    <a:noFill/>
                    <a:ln w="9525">
                      <a:noFill/>
                      <a:miter lim="800000"/>
                      <a:headEnd/>
                      <a:tailEnd/>
                    </a:ln>
                  </pic:spPr>
                </pic:pic>
              </a:graphicData>
            </a:graphic>
          </wp:inline>
        </w:drawing>
      </w:r>
    </w:p>
    <w:p w:rsidR="0001686F" w:rsidRDefault="0001686F" w:rsidP="0001686F">
      <w:pPr>
        <w:pStyle w:val="NormalWeb"/>
        <w:spacing w:after="0" w:line="360" w:lineRule="auto"/>
        <w:rPr>
          <w:lang w:val="en-GB"/>
        </w:rPr>
      </w:pPr>
      <w:r>
        <w:rPr>
          <w:color w:val="000000"/>
          <w:sz w:val="18"/>
          <w:szCs w:val="18"/>
          <w:lang w:val="en-GB"/>
        </w:rPr>
        <w:t>F</w:t>
      </w:r>
      <w:r w:rsidR="00084966">
        <w:rPr>
          <w:color w:val="000000"/>
          <w:sz w:val="18"/>
          <w:szCs w:val="18"/>
          <w:lang w:val="en-GB"/>
        </w:rPr>
        <w:t>ig.25</w:t>
      </w:r>
      <w:r>
        <w:rPr>
          <w:color w:val="000000"/>
          <w:sz w:val="18"/>
          <w:szCs w:val="18"/>
          <w:lang w:val="en-GB"/>
        </w:rPr>
        <w:t xml:space="preserve"> BOLD responses for the circles (each size) for both the “prepare” cue events and the central task event. V1 and V2 averaged across participants.</w:t>
      </w:r>
    </w:p>
    <w:p w:rsidR="00EF5785" w:rsidRDefault="00EF5785" w:rsidP="0001686F">
      <w:pPr>
        <w:pStyle w:val="NormalWeb"/>
        <w:spacing w:after="0" w:line="360" w:lineRule="auto"/>
        <w:rPr>
          <w:i/>
          <w:iCs/>
          <w:color w:val="000000"/>
          <w:lang w:val="en-GB"/>
        </w:rPr>
      </w:pPr>
    </w:p>
    <w:p w:rsidR="0001686F" w:rsidRDefault="0001686F" w:rsidP="0001686F">
      <w:pPr>
        <w:pStyle w:val="NormalWeb"/>
        <w:spacing w:after="0" w:line="360" w:lineRule="auto"/>
        <w:rPr>
          <w:lang w:val="en-GB"/>
        </w:rPr>
      </w:pPr>
      <w:r>
        <w:rPr>
          <w:i/>
          <w:iCs/>
          <w:color w:val="000000"/>
          <w:lang w:val="en-GB"/>
        </w:rPr>
        <w:t>Eye movement data</w:t>
      </w:r>
    </w:p>
    <w:p w:rsidR="0001686F" w:rsidRDefault="0001686F" w:rsidP="00CC3A24">
      <w:pPr>
        <w:pStyle w:val="NormalWeb"/>
        <w:spacing w:after="0" w:line="360" w:lineRule="auto"/>
        <w:ind w:firstLine="708"/>
        <w:jc w:val="both"/>
        <w:rPr>
          <w:lang w:val="en-GB"/>
        </w:rPr>
      </w:pPr>
      <w:r>
        <w:rPr>
          <w:color w:val="000000"/>
          <w:lang w:val="en-GB"/>
        </w:rPr>
        <w:t>Each run started and ended with calibration to extract the eye position for central fixation and for the centres of the circles we used in the upper left and upper right quadrants.</w:t>
      </w:r>
    </w:p>
    <w:p w:rsidR="0001686F" w:rsidRDefault="0001686F" w:rsidP="00CC3A24">
      <w:pPr>
        <w:pStyle w:val="NormalWeb"/>
        <w:spacing w:after="0" w:line="360" w:lineRule="auto"/>
        <w:ind w:firstLine="708"/>
        <w:jc w:val="both"/>
        <w:rPr>
          <w:color w:val="000000"/>
          <w:lang w:val="en-GB"/>
        </w:rPr>
      </w:pPr>
      <w:r>
        <w:rPr>
          <w:color w:val="000000"/>
          <w:lang w:val="en-GB"/>
        </w:rPr>
        <w:t xml:space="preserve">To test the idea that attention could interact in some way with saccade movements, we analyzed eye movement data in terms of the accuracy (standard deviations from the correct location as measured during calibration. At the beginning and at the end of each run we calibrate the eyetraker and then we used an average of the beginning and the end of each run to calculate on a trial by trial basis the standard deviation within each run) and latency (defined as the time at which eye movement velocity reached 30 deg/sec). Figure shows results for both latency and accuracy, for each circle size. The expectation was that accuracy and latency would both change with the circle. The results show that accuracy does not change with the circle size, but shows a non significant drop in accuracy for the case with smaller circle. </w:t>
      </w:r>
      <w:r>
        <w:rPr>
          <w:lang w:val="en-GB"/>
        </w:rPr>
        <w:t>L</w:t>
      </w:r>
      <w:r>
        <w:rPr>
          <w:color w:val="000000"/>
          <w:lang w:val="en-GB"/>
        </w:rPr>
        <w:t>atency does get longer for the case with smaller circles (</w:t>
      </w:r>
      <w:r w:rsidR="00B56A3D">
        <w:rPr>
          <w:color w:val="000000"/>
          <w:lang w:val="en-GB"/>
        </w:rPr>
        <w:t>F</w:t>
      </w:r>
      <w:r w:rsidR="009B4A4C">
        <w:rPr>
          <w:color w:val="000000"/>
          <w:lang w:val="en-GB"/>
        </w:rPr>
        <w:t>(5.82)</w:t>
      </w:r>
      <w:r w:rsidR="00B56A3D">
        <w:rPr>
          <w:color w:val="000000"/>
          <w:lang w:val="en-GB"/>
        </w:rPr>
        <w:t>=14.586</w:t>
      </w:r>
      <w:r>
        <w:rPr>
          <w:color w:val="000000"/>
          <w:lang w:val="en-GB"/>
        </w:rPr>
        <w:t xml:space="preserve"> p&lt;0.001). Taken together those results suggests that in the case with smaller circles the task become more demanding for subjects. </w:t>
      </w:r>
    </w:p>
    <w:p w:rsidR="0001686F" w:rsidRDefault="0001686F" w:rsidP="00561484">
      <w:pPr>
        <w:pStyle w:val="NormalWeb"/>
        <w:spacing w:after="0" w:line="360" w:lineRule="auto"/>
        <w:jc w:val="center"/>
        <w:rPr>
          <w:lang w:val="en-US"/>
        </w:rPr>
      </w:pPr>
      <w:r>
        <w:rPr>
          <w:noProof/>
          <w:lang w:val="en-GB" w:eastAsia="en-GB"/>
        </w:rPr>
        <w:drawing>
          <wp:inline distT="0" distB="0" distL="0" distR="0">
            <wp:extent cx="5760085" cy="2043941"/>
            <wp:effectExtent l="1905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760085" cy="2043941"/>
                    </a:xfrm>
                    <a:prstGeom prst="rect">
                      <a:avLst/>
                    </a:prstGeom>
                    <a:noFill/>
                    <a:ln w="9525">
                      <a:noFill/>
                      <a:miter lim="800000"/>
                      <a:headEnd/>
                      <a:tailEnd/>
                    </a:ln>
                  </pic:spPr>
                </pic:pic>
              </a:graphicData>
            </a:graphic>
          </wp:inline>
        </w:drawing>
      </w:r>
    </w:p>
    <w:p w:rsidR="0001686F" w:rsidRDefault="0001686F" w:rsidP="000262BE">
      <w:pPr>
        <w:pStyle w:val="NormalWeb"/>
        <w:spacing w:after="0" w:line="360" w:lineRule="auto"/>
        <w:outlineLvl w:val="0"/>
        <w:rPr>
          <w:lang w:val="en-GB"/>
        </w:rPr>
      </w:pPr>
      <w:r>
        <w:rPr>
          <w:color w:val="000000"/>
          <w:sz w:val="18"/>
          <w:szCs w:val="18"/>
          <w:lang w:val="en-GB"/>
        </w:rPr>
        <w:t>F</w:t>
      </w:r>
      <w:r w:rsidR="00084966">
        <w:rPr>
          <w:color w:val="000000"/>
          <w:sz w:val="18"/>
          <w:szCs w:val="18"/>
          <w:lang w:val="en-GB"/>
        </w:rPr>
        <w:t>ig. 26</w:t>
      </w:r>
      <w:r>
        <w:rPr>
          <w:color w:val="000000"/>
          <w:sz w:val="18"/>
          <w:szCs w:val="18"/>
          <w:lang w:val="en-GB"/>
        </w:rPr>
        <w:t xml:space="preserve"> Latency and accuracy for each circle size averaged across subjects.</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i/>
          <w:iCs/>
          <w:color w:val="000000"/>
          <w:lang w:val="en-GB"/>
        </w:rPr>
        <w:t>Trial by trial</w:t>
      </w:r>
    </w:p>
    <w:p w:rsidR="0001686F" w:rsidRDefault="0001686F" w:rsidP="00CC3A24">
      <w:pPr>
        <w:pStyle w:val="NormalWeb"/>
        <w:spacing w:after="0" w:line="360" w:lineRule="auto"/>
        <w:ind w:firstLine="708"/>
        <w:jc w:val="both"/>
        <w:rPr>
          <w:color w:val="000000"/>
          <w:lang w:val="en-GB"/>
        </w:rPr>
      </w:pPr>
      <w:r>
        <w:rPr>
          <w:color w:val="000000"/>
          <w:lang w:val="en-GB"/>
        </w:rPr>
        <w:t>Finally, we analysed eye movement and imaging data together to see whether there was a correlation between BOLD magnitude and saccade latency or accuracy, on a trial by trial basis. Figure shows that there is no correlation between the imaging data and eye movement data.</w:t>
      </w:r>
    </w:p>
    <w:p w:rsidR="0001686F" w:rsidRDefault="0001686F" w:rsidP="00561484">
      <w:pPr>
        <w:pStyle w:val="NormalWeb"/>
        <w:spacing w:after="0" w:line="360" w:lineRule="auto"/>
        <w:jc w:val="center"/>
        <w:rPr>
          <w:lang w:val="en-US"/>
        </w:rPr>
      </w:pPr>
      <w:r>
        <w:rPr>
          <w:noProof/>
          <w:lang w:val="en-GB" w:eastAsia="en-GB"/>
        </w:rPr>
        <w:drawing>
          <wp:inline distT="0" distB="0" distL="0" distR="0">
            <wp:extent cx="5400000" cy="3471028"/>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5400000" cy="3471028"/>
                    </a:xfrm>
                    <a:prstGeom prst="rect">
                      <a:avLst/>
                    </a:prstGeom>
                    <a:noFill/>
                    <a:ln w="9525">
                      <a:noFill/>
                      <a:miter lim="800000"/>
                      <a:headEnd/>
                      <a:tailEnd/>
                    </a:ln>
                  </pic:spPr>
                </pic:pic>
              </a:graphicData>
            </a:graphic>
          </wp:inline>
        </w:drawing>
      </w:r>
    </w:p>
    <w:p w:rsidR="0001686F" w:rsidRDefault="00084966" w:rsidP="000262BE">
      <w:pPr>
        <w:pStyle w:val="NormalWeb"/>
        <w:spacing w:after="0" w:line="360" w:lineRule="auto"/>
        <w:outlineLvl w:val="0"/>
        <w:rPr>
          <w:lang w:val="en-GB"/>
        </w:rPr>
      </w:pPr>
      <w:r>
        <w:rPr>
          <w:color w:val="000000"/>
          <w:sz w:val="18"/>
          <w:szCs w:val="18"/>
          <w:lang w:val="en-GB"/>
        </w:rPr>
        <w:t>Fig.27</w:t>
      </w:r>
      <w:r w:rsidR="0001686F">
        <w:rPr>
          <w:color w:val="000000"/>
          <w:sz w:val="18"/>
          <w:szCs w:val="18"/>
          <w:lang w:val="en-GB"/>
        </w:rPr>
        <w:t xml:space="preserve"> Trial-by-trial analysis. Accuracy and Latency for both visual areas </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color w:val="000000"/>
          <w:lang w:val="en-GB"/>
        </w:rPr>
        <w:t>3.6.4 Discussion</w:t>
      </w:r>
    </w:p>
    <w:p w:rsidR="0001686F" w:rsidRDefault="0001686F" w:rsidP="0001686F">
      <w:pPr>
        <w:pStyle w:val="NormalWeb"/>
        <w:spacing w:after="0" w:line="360" w:lineRule="auto"/>
        <w:rPr>
          <w:lang w:val="en-GB"/>
        </w:rPr>
      </w:pPr>
    </w:p>
    <w:p w:rsidR="0001686F" w:rsidRPr="0001686F" w:rsidRDefault="0001686F" w:rsidP="00CC3A24">
      <w:pPr>
        <w:pStyle w:val="NormalWeb"/>
        <w:spacing w:after="0" w:line="360" w:lineRule="auto"/>
        <w:ind w:firstLine="708"/>
        <w:jc w:val="both"/>
        <w:rPr>
          <w:lang w:val="en-US"/>
        </w:rPr>
      </w:pPr>
      <w:r>
        <w:rPr>
          <w:color w:val="000000"/>
          <w:lang w:val="en-GB"/>
        </w:rPr>
        <w:t>In this experiment we examined the relationship between pre-stimulus activity in early visual areas and saccade movements. The idea was that</w:t>
      </w:r>
      <w:r>
        <w:rPr>
          <w:rFonts w:ascii="Times-Roman" w:hAnsi="Times-Roman"/>
          <w:color w:val="141413"/>
          <w:lang w:val="en-GB"/>
        </w:rPr>
        <w:t xml:space="preserve"> covert attention preceding the eye movement assists calculation of the exact point of the next fixation, and this leads to the hypothesis that a pre-stimulus baseline increase could guide saccade movements by indicating a particular retinotopic location to the eye movement system. Because the baseline change and the saccade both depend on attention, and attention inevitably varies from trial to trial, it was expected that the strength of the baseline signal might correlate with saccade latency and accuracy. We were additionally expecting that decreasing the size of the circle that was used as a saccade target location cue would result in an increase in attentional load, and hence an increase in both the speed and accuracy of the saccade. The subject was requested to attend at the location cued by the circle while waiting for the “go” signal to perform the saccade. An increase between conditions of pre-stimulus activity would then correlate with saccade latency and accuracy in the case that these two processes are related in some way. Unfortunately the results show no relationship on a trial by trial basis, nor on the basis of the average for each condition. The most surprising result was that we found no differences either between the circles to be attended or the ones that were displayed when the subject was performing a central task. A possible explanation is that the subject does not allocate any spatial attention to the circle in order to prepare for the saccade but just tries to remember where the circle appeared. Moreover the fact that eye movements directed to a location in space have been shown to be preceded by a shift of visual attention to the same location (Deubel &amp; Schneider, 1996; Hoffman &amp; Subramaniam, 1995), but not in a preparative way (i.e. not just preceding a saccade), could mean that this shift is linked only when an eye movement is meant to be performed and not as a preparation for it. Finally it is possible that covert attention might be an opposite process to saccade movements, in the sense that it replaces the relocation of the gaze by trying to focus at the desired location with an “internal eye”; under this point of view we might expect a negative correlation between pre-stimulus activity and latency or accuracy, but our results show no significant correlation.</w:t>
      </w:r>
    </w:p>
    <w:p w:rsidR="0001686F" w:rsidRDefault="0001686F" w:rsidP="0001686F">
      <w:pPr>
        <w:pStyle w:val="NormalWeb"/>
        <w:spacing w:after="0" w:line="360" w:lineRule="auto"/>
        <w:rPr>
          <w:lang w:val="en-GB"/>
        </w:rPr>
      </w:pPr>
    </w:p>
    <w:p w:rsidR="0001686F" w:rsidRDefault="0001686F" w:rsidP="0001686F">
      <w:pPr>
        <w:pStyle w:val="NormalWeb"/>
        <w:spacing w:after="0" w:line="360" w:lineRule="auto"/>
        <w:rPr>
          <w:lang w:val="en-GB"/>
        </w:rPr>
      </w:pPr>
    </w:p>
    <w:p w:rsidR="0001686F" w:rsidRDefault="0001686F" w:rsidP="0001686F">
      <w:pPr>
        <w:pStyle w:val="NormalWeb"/>
        <w:spacing w:after="0" w:line="360" w:lineRule="auto"/>
        <w:rPr>
          <w:lang w:val="en-GB"/>
        </w:rPr>
      </w:pPr>
    </w:p>
    <w:p w:rsidR="0001686F" w:rsidRDefault="0001686F" w:rsidP="0001686F">
      <w:pPr>
        <w:pStyle w:val="NormalWeb"/>
        <w:spacing w:after="0" w:line="360" w:lineRule="auto"/>
        <w:rPr>
          <w:lang w:val="en-GB"/>
        </w:rPr>
      </w:pPr>
    </w:p>
    <w:p w:rsidR="0001686F" w:rsidRDefault="0001686F" w:rsidP="0001686F">
      <w:pPr>
        <w:pStyle w:val="NormalWeb"/>
        <w:spacing w:after="0" w:line="360" w:lineRule="auto"/>
        <w:rPr>
          <w:lang w:val="en-GB"/>
        </w:rPr>
      </w:pPr>
    </w:p>
    <w:p w:rsidR="0001686F" w:rsidRDefault="0001686F" w:rsidP="0001686F">
      <w:pPr>
        <w:pStyle w:val="NormalWeb"/>
        <w:spacing w:after="0" w:line="360" w:lineRule="auto"/>
        <w:rPr>
          <w:lang w:val="en-GB"/>
        </w:rPr>
      </w:pPr>
    </w:p>
    <w:p w:rsidR="0001686F" w:rsidRDefault="0001686F" w:rsidP="0001686F">
      <w:pPr>
        <w:pStyle w:val="NormalWeb"/>
        <w:spacing w:after="0" w:line="360" w:lineRule="auto"/>
        <w:rPr>
          <w:lang w:val="en-GB"/>
        </w:rPr>
      </w:pPr>
    </w:p>
    <w:p w:rsidR="0001686F" w:rsidRPr="00650134" w:rsidRDefault="0001686F" w:rsidP="000262BE">
      <w:pPr>
        <w:pStyle w:val="NormalWeb"/>
        <w:pageBreakBefore/>
        <w:spacing w:after="0" w:line="360" w:lineRule="auto"/>
        <w:outlineLvl w:val="0"/>
        <w:rPr>
          <w:b/>
          <w:lang w:val="en-GB"/>
        </w:rPr>
      </w:pPr>
      <w:r w:rsidRPr="00650134">
        <w:rPr>
          <w:rFonts w:ascii="Times-Roman" w:hAnsi="Times-Roman"/>
          <w:b/>
          <w:color w:val="141413"/>
          <w:lang w:val="en-GB"/>
        </w:rPr>
        <w:t>Chapter 3.7 Experiment 6</w:t>
      </w:r>
    </w:p>
    <w:p w:rsidR="0001686F" w:rsidRDefault="0001686F" w:rsidP="0001686F">
      <w:pPr>
        <w:pStyle w:val="NormalWeb"/>
        <w:spacing w:after="0" w:line="360" w:lineRule="auto"/>
        <w:rPr>
          <w:lang w:val="en-GB"/>
        </w:rPr>
      </w:pPr>
    </w:p>
    <w:p w:rsidR="0001686F" w:rsidRPr="0001686F" w:rsidRDefault="0001686F" w:rsidP="00CC3A24">
      <w:pPr>
        <w:pStyle w:val="NormalWeb"/>
        <w:spacing w:after="0" w:line="360" w:lineRule="auto"/>
        <w:ind w:firstLine="708"/>
        <w:jc w:val="both"/>
        <w:rPr>
          <w:lang w:val="en-US"/>
        </w:rPr>
      </w:pPr>
      <w:r>
        <w:rPr>
          <w:rFonts w:ascii="Times-Roman" w:hAnsi="Times-Roman"/>
          <w:color w:val="141413"/>
          <w:lang w:val="en-GB"/>
        </w:rPr>
        <w:t xml:space="preserve">Experiment Six is actually a revaluation of Experiment One. In Experiment One we analysed changes of pre-stimulus activity in time. We re-evaluated the results and expanded them with additional analysis and tests to point out the role of attention in perceptual learning. </w:t>
      </w:r>
    </w:p>
    <w:p w:rsidR="0001686F" w:rsidRDefault="0001686F" w:rsidP="00DE1684">
      <w:pPr>
        <w:pStyle w:val="NormalWeb"/>
        <w:spacing w:after="0" w:line="360" w:lineRule="auto"/>
        <w:jc w:val="both"/>
        <w:rPr>
          <w:rFonts w:ascii="Times-Roman" w:hAnsi="Times-Roman"/>
          <w:color w:val="141413"/>
          <w:lang w:val="en-GB"/>
        </w:rPr>
      </w:pPr>
      <w:r>
        <w:rPr>
          <w:rFonts w:ascii="Times-Roman" w:hAnsi="Times-Roman"/>
          <w:color w:val="141413"/>
          <w:lang w:val="en-GB"/>
        </w:rPr>
        <w:t>Below is the work that we undertook as it is published in the journal “Neuropsychologia”.</w:t>
      </w:r>
    </w:p>
    <w:p w:rsidR="00DE1684" w:rsidRDefault="00DE1684">
      <w:pPr>
        <w:rPr>
          <w:rFonts w:ascii="Times New Roman" w:eastAsia="Times New Roman" w:hAnsi="Times New Roman" w:cs="Times New Roman"/>
          <w:b/>
          <w:bCs/>
          <w:sz w:val="32"/>
          <w:szCs w:val="32"/>
          <w:lang w:val="en-GB" w:eastAsia="it-IT"/>
        </w:rPr>
      </w:pPr>
    </w:p>
    <w:p w:rsidR="0001686F" w:rsidRPr="0001686F" w:rsidRDefault="0001686F" w:rsidP="00EF5785">
      <w:pPr>
        <w:pStyle w:val="NormalWeb"/>
        <w:spacing w:after="0" w:line="360" w:lineRule="auto"/>
        <w:jc w:val="both"/>
        <w:rPr>
          <w:lang w:val="en-US"/>
        </w:rPr>
      </w:pPr>
      <w:r>
        <w:rPr>
          <w:b/>
          <w:bCs/>
          <w:sz w:val="32"/>
          <w:szCs w:val="32"/>
          <w:lang w:val="en-GB"/>
        </w:rPr>
        <w:t>Attentional modulation in visual cortex is modified during perceptual learning</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lang w:val="en-GB"/>
        </w:rPr>
        <w:t>3.7.1 Abstract</w:t>
      </w:r>
    </w:p>
    <w:p w:rsidR="0001686F" w:rsidRDefault="0001686F" w:rsidP="0001686F">
      <w:pPr>
        <w:pStyle w:val="NormalWeb"/>
        <w:spacing w:after="0" w:line="360" w:lineRule="auto"/>
        <w:rPr>
          <w:lang w:val="en-GB"/>
        </w:rPr>
      </w:pPr>
    </w:p>
    <w:p w:rsidR="00DE1684" w:rsidRDefault="0001686F" w:rsidP="00CC3A24">
      <w:pPr>
        <w:pStyle w:val="NormalWeb"/>
        <w:spacing w:after="0" w:line="360" w:lineRule="auto"/>
        <w:ind w:firstLine="708"/>
        <w:jc w:val="both"/>
        <w:rPr>
          <w:color w:val="000000"/>
          <w:lang w:val="en-GB"/>
        </w:rPr>
      </w:pPr>
      <w:r>
        <w:rPr>
          <w:lang w:val="en-GB"/>
        </w:rPr>
        <w:t>Practising a visual task commonly results in improved performance. Often the improvement does not transfer well to a new retinal location, suggesting that it is mediated by changes occurring in early visual cortex, and indeed n</w:t>
      </w:r>
      <w:r>
        <w:rPr>
          <w:color w:val="000000"/>
          <w:lang w:val="en-GB"/>
        </w:rPr>
        <w:t xml:space="preserve">euroimaging and neurophysiological studies both demonstrate that perceptual learning is associated with altered activity in visual cortex. </w:t>
      </w:r>
      <w:r>
        <w:rPr>
          <w:lang w:val="en-GB"/>
        </w:rPr>
        <w:t>Theoretical treatments tend to invoke neuroplasticity that refines early sensory processing</w:t>
      </w:r>
      <w:r>
        <w:rPr>
          <w:color w:val="000000"/>
          <w:lang w:val="en-GB"/>
        </w:rPr>
        <w:t xml:space="preserve">. An alternative possibility is that performance is improved because of an altered attentional strategy and that the changes in early visual areas reflect locally altered top-down attentional modulation. To test this idea, we have used functional MRI to examine changes in attentional modulation in visual cortex while participants learn an orientation discrimination task. </w:t>
      </w:r>
      <w:r>
        <w:rPr>
          <w:lang w:val="en-GB"/>
        </w:rPr>
        <w:t xml:space="preserve">By examining activity in visual cortex during the preparatory period when the participant has been cued to attend to an upcoming stimulus, we isolated the top-down modulatory signal received by the visual cortex. We show that this signal changes as learning progresses, possibly reflecting gradual automation of the task. </w:t>
      </w:r>
      <w:r>
        <w:rPr>
          <w:color w:val="000000"/>
          <w:lang w:val="en-GB"/>
        </w:rPr>
        <w:t>By manipulating task difficulty, we show that the change mirrors performance, occurring most quickly for easier stimuli. The effects were seen only at the retinal locus of the stimulus, ruling out a generalized change in alertness. The results suggest that spatial attention changes during perceptual learning and that this may account for some of the concomitant changes seen in visual cortex.</w:t>
      </w:r>
    </w:p>
    <w:p w:rsidR="00DE1684" w:rsidRDefault="00DE1684" w:rsidP="00DE1684">
      <w:pPr>
        <w:pStyle w:val="NormalWeb"/>
        <w:spacing w:after="0" w:line="360" w:lineRule="auto"/>
        <w:jc w:val="both"/>
        <w:rPr>
          <w:color w:val="000000"/>
          <w:lang w:val="en-GB"/>
        </w:rPr>
      </w:pPr>
    </w:p>
    <w:p w:rsidR="0001686F" w:rsidRDefault="00DE1684" w:rsidP="000262BE">
      <w:pPr>
        <w:pStyle w:val="NormalWeb"/>
        <w:spacing w:after="0" w:line="360" w:lineRule="auto"/>
        <w:jc w:val="both"/>
        <w:outlineLvl w:val="0"/>
        <w:rPr>
          <w:lang w:val="en-GB"/>
        </w:rPr>
      </w:pPr>
      <w:r>
        <w:rPr>
          <w:lang w:val="en-GB"/>
        </w:rPr>
        <w:t xml:space="preserve"> 3</w:t>
      </w:r>
      <w:r w:rsidR="0001686F">
        <w:rPr>
          <w:lang w:val="en-GB"/>
        </w:rPr>
        <w:t>.7.2 Introduction</w:t>
      </w:r>
    </w:p>
    <w:p w:rsidR="0001686F" w:rsidRDefault="0001686F" w:rsidP="0001686F">
      <w:pPr>
        <w:pStyle w:val="NormalWeb"/>
        <w:spacing w:after="0" w:line="360" w:lineRule="auto"/>
        <w:rPr>
          <w:lang w:val="en-GB"/>
        </w:rPr>
      </w:pPr>
    </w:p>
    <w:p w:rsidR="0001686F" w:rsidRDefault="0001686F" w:rsidP="00CC3A24">
      <w:pPr>
        <w:pStyle w:val="NormalWeb"/>
        <w:spacing w:after="0" w:line="360" w:lineRule="auto"/>
        <w:ind w:firstLine="708"/>
        <w:jc w:val="both"/>
        <w:rPr>
          <w:lang w:val="en-GB"/>
        </w:rPr>
      </w:pPr>
      <w:r>
        <w:rPr>
          <w:lang w:val="en-GB"/>
        </w:rPr>
        <w:t xml:space="preserve">Perceptual learning is defined as practice-induced improvement in the performance of perceptual tasks. Behaviourally, repeated experience with visual stimuli can result in faster detection and improved discrimination of similar stimuli, arguably leading to a more efficient response to the visual information that is prevalent in an individual’s environment. Psychophysical studies have shown that effects of learning occur for many low-level perceptual tasks, including motion discrimination (Ball &amp; Sekuler, 1982), orientation discrimination (Vogels and Orban, 1985; Shiu and Pashler, 1992; Schoups et al., 1995), discrimination of complex gratings (Fiorentini 1980; 1981), vernier acuity (Fahle et al. 1995), line bisection tasks (Crist, 1997), structure from motion (Vidyasagar &amp; Stuart, 1993), stereopsis (Ramachandran &amp; Braddick, 1973; Ramachandran 1976) and visual search (Ahissar and Hochstein 1996). Performance may continue to increase over many days of testing but even a small amount of practice can significantly improve performance (Hussain et al, 2009). </w:t>
      </w:r>
    </w:p>
    <w:p w:rsidR="0001686F" w:rsidRDefault="0001686F" w:rsidP="00CC3A24">
      <w:pPr>
        <w:pStyle w:val="NormalWeb"/>
        <w:spacing w:after="0" w:line="360" w:lineRule="auto"/>
        <w:ind w:firstLine="708"/>
        <w:jc w:val="both"/>
        <w:rPr>
          <w:lang w:val="en-GB"/>
        </w:rPr>
      </w:pPr>
      <w:r>
        <w:rPr>
          <w:lang w:val="en-GB"/>
        </w:rPr>
        <w:t>A striking characteristic of these improvements in performance is that they do not generalize well. The observed improvements are typically specific to the retinotopic location used for training and are lost or diminished when the stimuli are moved even a few degrees across the retina. Orientation discrimination learning is confined to the stimulus orientation used for training and does not transfer to other orientations (Ramachandran and Braddick, 1973; Fiorentini and Berardi, 1981; Ahissar and Hochstein, 1997), while direction discrimination is confined to the direction used for training (Ball &amp; Sekuler, 1982). Learning on one hyperacuity task does not transfer to another (Fahle, 1997). In some cases, perceptual learning may even be lost simply if the stimuli are not presented to the eye that was used during training (Karni and Sagi, 1991). The specificity of perceptual learning has been taken to indicate (e.g. Karni &amp; Sagi, 1991) that the neural changes underlying at least some types of perceptual learning may take place at an early stage of processing, such as the primary visual cortex. In the case of specificity for location, a recent alternative view (Xiao et al, 2008; Zhang et al, 2010) is that perceptual learning may occur more centrally but needs to be associated by training with a specific location, accounting for the lack of transfer.</w:t>
      </w:r>
    </w:p>
    <w:p w:rsidR="0001686F" w:rsidRPr="0001686F" w:rsidRDefault="0001686F" w:rsidP="00CC3A24">
      <w:pPr>
        <w:pStyle w:val="NormalWeb"/>
        <w:spacing w:after="0" w:line="360" w:lineRule="auto"/>
        <w:ind w:firstLine="708"/>
        <w:jc w:val="both"/>
        <w:rPr>
          <w:lang w:val="en-US"/>
        </w:rPr>
      </w:pPr>
      <w:r>
        <w:rPr>
          <w:color w:val="000000"/>
          <w:lang w:val="en-GB"/>
        </w:rPr>
        <w:t xml:space="preserve">There is some physiological evidence that improved discrimination following learning may reflect increased sensitivity or sharpening of neural tuning to the trained attribute. For instance, the ability to detect global motion in a noisy random-dot kinematogram increases with practice (in terms of the threshold number of signal dots needed for correct identification of direction) and this improvement correlates with increased responsiveness of neurons in area MT (Zohary et al., 1994). </w:t>
      </w:r>
      <w:r>
        <w:rPr>
          <w:lang w:val="en-GB"/>
        </w:rPr>
        <w:t>Sharpened orientation tuning curves have been reported in V1 (</w:t>
      </w:r>
      <w:r>
        <w:rPr>
          <w:color w:val="000000"/>
          <w:lang w:val="en-GB"/>
        </w:rPr>
        <w:t>Schoups et al., 2001)</w:t>
      </w:r>
      <w:r>
        <w:rPr>
          <w:lang w:val="en-GB"/>
        </w:rPr>
        <w:t xml:space="preserve"> and V4</w:t>
      </w:r>
      <w:r>
        <w:rPr>
          <w:color w:val="000000"/>
          <w:lang w:val="en-GB"/>
        </w:rPr>
        <w:t xml:space="preserve"> (</w:t>
      </w:r>
      <w:r>
        <w:rPr>
          <w:lang w:val="en-GB"/>
        </w:rPr>
        <w:t xml:space="preserve">Yang and Maunsell, 2004) after training on an orientation discrimination task. </w:t>
      </w:r>
      <w:r>
        <w:rPr>
          <w:color w:val="000000"/>
          <w:lang w:val="en-GB"/>
        </w:rPr>
        <w:t xml:space="preserve">This plasticity is spatially specific, in line with behavioural results, being absent in cells with receptive ﬁelds at the locations of task-irrelevant stimuli. </w:t>
      </w:r>
      <w:r>
        <w:rPr>
          <w:lang w:val="en-GB"/>
        </w:rPr>
        <w:t>Other physiological changes associated with learning have also been reported in early visual areas, including changes in the surround properties of neurons (Crist &amp; Gilbert, 2001) and changes in the proportions of neurons that are responsive to the trained feature (Ghose et al., 2002). The relationship between perceptual and physiological changes is far from obvious.</w:t>
      </w:r>
      <w:r>
        <w:rPr>
          <w:color w:val="000000"/>
          <w:lang w:val="en-GB"/>
        </w:rPr>
        <w:t xml:space="preserve"> It is not even clear that learning can be expected to result in increased neural activity; one possibility (Ghose, 2004) is that learning reflects improved ability to suppress responses to irrelevant stimuli. Several reviews of the specificity of perceptual learning and the underlying neural changes have been published (</w:t>
      </w:r>
      <w:r>
        <w:rPr>
          <w:lang w:val="en-GB"/>
        </w:rPr>
        <w:t>Karni, 1996; Gilbert et al., 2001; Ghose, 2004; Fahle, 2004).</w:t>
      </w:r>
    </w:p>
    <w:p w:rsidR="0001686F" w:rsidRDefault="0001686F" w:rsidP="00CC3A24">
      <w:pPr>
        <w:pStyle w:val="NormalWeb"/>
        <w:spacing w:after="0" w:line="360" w:lineRule="auto"/>
        <w:ind w:firstLine="708"/>
        <w:jc w:val="both"/>
        <w:rPr>
          <w:lang w:val="en-GB"/>
        </w:rPr>
      </w:pPr>
      <w:r>
        <w:rPr>
          <w:lang w:val="en-GB"/>
        </w:rPr>
        <w:t xml:space="preserve">Human imaging studies have also found changes in activation in early visual areas, including the primary visual cortex, during perceptual learning. Some authors report reductions in activity, for example reductions have been seen after training in contrast discrimination (Schiltz et al., 1999) and in discriminating complex gratings (Mukai et al., 2007). However, other studies have reported increases in activity following perceptual learning; increases have been claimed for texture discrimination (Schwartz et al., 2002), contrast detection (Furmanski et al., 2004), curvature discrimination (Maertens &amp; Pollmann, 2005) and letter detection (Lewis et al., 2009). Sigman et al., (2005) reported increases in some brain regions and decreases in others following training in a shape identification task, while Yotsumoto et al. (2008) found that over a protracted time period activity in V1 first increased with learning and then returned to its original level. As in the case of single-unit physiology, the imaging literature is replete with documented changes but their relation to the associated perceptual changes is not always clear. </w:t>
      </w:r>
    </w:p>
    <w:p w:rsidR="0001686F" w:rsidRPr="0001686F" w:rsidRDefault="0001686F" w:rsidP="00CC3A24">
      <w:pPr>
        <w:pStyle w:val="NormalWeb"/>
        <w:spacing w:after="0" w:line="360" w:lineRule="auto"/>
        <w:ind w:firstLine="708"/>
        <w:jc w:val="both"/>
        <w:rPr>
          <w:lang w:val="en-US"/>
        </w:rPr>
      </w:pPr>
      <w:r>
        <w:rPr>
          <w:lang w:val="en-GB"/>
        </w:rPr>
        <w:t xml:space="preserve">It is unclear whether learning-related changes in the visual cortex result from plasticity in response to bottom-up sensory input, or instead reflect feedback influences from later visual processing stages. </w:t>
      </w:r>
      <w:r>
        <w:rPr>
          <w:color w:val="000000"/>
          <w:lang w:val="en-GB"/>
        </w:rPr>
        <w:t xml:space="preserve">It has been suggested by some that perceptual learning cannot occur without persistent and intensive attention to the feature to be learned (e.g. Ahissar and Hochstein, 1993). In contrast, there is evidence that perceptual learning can occur without perceptual awareness (e.g. Watanabe et al 2001). Nonetheless it is agreed that attention can be important for learning at least in some circumstances. This raises the possibility that perceptual learning of the kind that is mediated by early visual areas such as V1 may require, or be enhanced by, the well-documented phenomenon of attentional modulation in the visual cortex (Fahle, 2009). </w:t>
      </w:r>
      <w:r>
        <w:rPr>
          <w:lang w:val="en-GB"/>
        </w:rPr>
        <w:t>It has been shown that attentional modulation plays a major role in visual responsiveness, both at the level of individual neurons (e.g. Reynolds and Chelazzi, 2004; Maunsell and Treue, 2006) and averaged across populations of cells, as measured by blood oxygenation level-dependent (BOLD) neuroimaging (Kastner and Ungerleider, 2001; Corbetta and Shulman, 2002; Pessoa et al., 2003 Sapir et al., 2005; Giesbrecht et al., 2006; Sylvester et al., 2007, 2008). Attentional modulation has also been found in the absence of visual stimulation, during an anticipatory period prior to onset of a cue target, again both in single unit recording (Luck et al., 1997) and human brain imaging (Luks and Simpson, 2004; Sapir et al, 2005; McMains and Kastner, 2007; Sylvester et al., 2007) and also for cueing a particular feature of the target (Stokes et al., 2009). Some studies suggest, based on a lack of trial-to-trial correlation between the two attentional effects, that they reflect separate processes (Nakamura and Colby, 2000; Recanzone and Wurtz, 2000). However, Sylvester et al. (2009) have argued that anticipatory and stimulus-evoked BOLD responses reflect a common attentional control signal.</w:t>
      </w:r>
    </w:p>
    <w:p w:rsidR="0001686F" w:rsidRPr="0001686F" w:rsidRDefault="0001686F" w:rsidP="00CC3A24">
      <w:pPr>
        <w:pStyle w:val="NormalWeb"/>
        <w:spacing w:after="0" w:line="360" w:lineRule="auto"/>
        <w:ind w:firstLine="708"/>
        <w:jc w:val="both"/>
        <w:rPr>
          <w:lang w:val="en-US"/>
        </w:rPr>
      </w:pPr>
      <w:r>
        <w:rPr>
          <w:lang w:val="en-GB"/>
        </w:rPr>
        <w:t xml:space="preserve">Previous imaging studies of perceptual learning have focussed on the effects of learning on the magnitude of responses to the learned stimuli. In such studies, it is difficult to establish whether the change reflects a change in bottom-up processing or a change in top-down influences such as attention. Ito et al. (1998) showed that attentional effects on perception can be influenced by learning, while </w:t>
      </w:r>
      <w:r>
        <w:rPr>
          <w:color w:val="000000"/>
          <w:lang w:val="en-GB"/>
        </w:rPr>
        <w:t>Gilbert et al. (2000, 2001) have argued that a</w:t>
      </w:r>
      <w:r>
        <w:rPr>
          <w:lang w:val="en-GB"/>
        </w:rPr>
        <w:t xml:space="preserve">ttentional modulation in early visual areas shows changes with learning. In this study we investigate, for the first time in the context of neuroimaging, the relationship between attentional modulation and perceptual learning. Attentional effects are isolated by studying anticipatory changes in activity that occur in the absence of visual stimulation, after a stimulus is cued but before it appears. </w:t>
      </w:r>
    </w:p>
    <w:p w:rsidR="0001686F" w:rsidRPr="0001686F" w:rsidRDefault="0001686F" w:rsidP="00CC3A24">
      <w:pPr>
        <w:pStyle w:val="NormalWeb"/>
        <w:spacing w:after="0" w:line="360" w:lineRule="auto"/>
        <w:ind w:firstLine="708"/>
        <w:jc w:val="both"/>
        <w:rPr>
          <w:lang w:val="en-US"/>
        </w:rPr>
      </w:pPr>
      <w:r>
        <w:rPr>
          <w:lang w:val="en-GB"/>
        </w:rPr>
        <w:t>If pre-stimulus activity alters during learning, changes in attentional modulation during learning are implicated. The change might be either a decrease or an increase in attentional modulation and it might be correlated or uncorrelated with changes in the magnitude of the response evoked by the stimulus itself. Thus, the aim was to evaluate three possible outcomes. The first is that there is no change in pre-stimulus activity, despite the expected and well-documented change in stimulus-evoked activity. If perceptual learning and the associated changes in neural activity result from changes in bottom-up processing that do not involve or require changes in top-down attentional modulation, then there is no reason to expect that pre-stimulus attention-related activity will change during learning. The second and third possible outcomes are that pre-stimulus activity does change during learning, in a way that is uncorrelated or correlated, respectively, with changes in the stimulus-evoked response. If the effects are uncorrelated, for example if one is an increase and the other a decrease, this suggests two separate and independent processes, such as a change of attention affecting pre-stimulus activity and neural plasticity affecting the stimulus-evoked response. Such plasticity could reflect either bottom-up or top-down changes: it is possible that top-down modulation could cause long-lasting changes in response properties (such as gain changes or</w:t>
      </w:r>
      <w:r>
        <w:rPr>
          <w:rFonts w:ascii="MS Mincho" w:eastAsia="MS Mincho" w:hAnsi="MS Mincho"/>
          <w:lang w:val="en-GB"/>
        </w:rPr>
        <w:t xml:space="preserve"> </w:t>
      </w:r>
      <w:r>
        <w:rPr>
          <w:lang w:val="en-GB"/>
        </w:rPr>
        <w:t xml:space="preserve">sharpening of the tuning of neuronal representation) as learning progresses. This might result in altered bottom-up processing, which might be evident independent of attentional state, having become hard-wired in visual cortex. </w:t>
      </w:r>
    </w:p>
    <w:p w:rsidR="0001686F" w:rsidRDefault="0001686F" w:rsidP="00CC3A24">
      <w:pPr>
        <w:pStyle w:val="NormalWeb"/>
        <w:spacing w:after="0" w:line="360" w:lineRule="auto"/>
        <w:ind w:firstLine="708"/>
        <w:jc w:val="both"/>
        <w:rPr>
          <w:lang w:val="en-GB"/>
        </w:rPr>
      </w:pPr>
      <w:r>
        <w:rPr>
          <w:lang w:val="en-GB"/>
        </w:rPr>
        <w:t xml:space="preserve">If the two effects of learning prove to be similar (outcome 3), and if we assume that pre-stimulus activity reflects attention, this outcome might suggest that the changes in the stimulus-evoked response seen during learning reflect changes in attentional modulation alone, rather than changes in bottom-up processing of the stimulus. This would suggest that improved performance purely reflects deployment of attention in a more efficient way, in which case improved performance after learning would not occur independently of current attentional state. Rather, maintaining the new, learned attentional state would remain crucial to maintaining the new, learned level of performance. </w:t>
      </w:r>
    </w:p>
    <w:p w:rsidR="0001686F" w:rsidRDefault="0001686F" w:rsidP="00CC3A24">
      <w:pPr>
        <w:pStyle w:val="NormalWeb"/>
        <w:spacing w:after="0" w:line="360" w:lineRule="auto"/>
        <w:ind w:firstLine="708"/>
        <w:jc w:val="both"/>
        <w:rPr>
          <w:lang w:val="en-GB"/>
        </w:rPr>
      </w:pPr>
      <w:r>
        <w:rPr>
          <w:lang w:val="en-GB"/>
        </w:rPr>
        <w:t>To address the role of attention in the changes seen in visual cortex during learning, we use an orientation discrimination task. Learning-related changes in the BOLD responses are measured both during an anticipatory period and also following stimulus presentation. By looking at pre-stimulus activity changes over time, the three possible outcome described above are dissociated.</w:t>
      </w:r>
    </w:p>
    <w:p w:rsidR="00EF5785" w:rsidRDefault="00EF5785" w:rsidP="00EF5785">
      <w:pPr>
        <w:pStyle w:val="NormalWeb"/>
        <w:spacing w:after="0" w:line="360" w:lineRule="auto"/>
        <w:jc w:val="both"/>
        <w:rPr>
          <w:lang w:val="en-GB"/>
        </w:rPr>
      </w:pPr>
    </w:p>
    <w:p w:rsidR="0001686F" w:rsidRDefault="0001686F" w:rsidP="000262BE">
      <w:pPr>
        <w:pStyle w:val="NormalWeb"/>
        <w:spacing w:after="0" w:line="360" w:lineRule="auto"/>
        <w:outlineLvl w:val="0"/>
        <w:rPr>
          <w:lang w:val="en-GB"/>
        </w:rPr>
      </w:pPr>
      <w:r>
        <w:rPr>
          <w:lang w:val="en-GB"/>
        </w:rPr>
        <w:t>3.7.3. Methods</w:t>
      </w:r>
    </w:p>
    <w:p w:rsidR="0001686F" w:rsidRDefault="0001686F" w:rsidP="0001686F">
      <w:pPr>
        <w:pStyle w:val="NormalWeb"/>
        <w:spacing w:after="0" w:line="360" w:lineRule="auto"/>
        <w:rPr>
          <w:lang w:val="en-GB"/>
        </w:rPr>
      </w:pPr>
    </w:p>
    <w:p w:rsidR="0001686F" w:rsidRDefault="0001686F" w:rsidP="000262BE">
      <w:pPr>
        <w:pStyle w:val="NormalWeb"/>
        <w:spacing w:after="0" w:line="360" w:lineRule="auto"/>
        <w:outlineLvl w:val="0"/>
        <w:rPr>
          <w:lang w:val="en-GB"/>
        </w:rPr>
      </w:pPr>
      <w:r>
        <w:rPr>
          <w:i/>
          <w:iCs/>
          <w:lang w:val="en-GB"/>
        </w:rPr>
        <w:t>Participants, stimuli and procedure</w:t>
      </w:r>
    </w:p>
    <w:p w:rsidR="0001686F" w:rsidRPr="0001686F" w:rsidRDefault="0001686F" w:rsidP="00CC3A24">
      <w:pPr>
        <w:pStyle w:val="NormalWeb"/>
        <w:spacing w:after="0" w:line="360" w:lineRule="auto"/>
        <w:ind w:firstLine="708"/>
        <w:jc w:val="both"/>
        <w:rPr>
          <w:lang w:val="en-US"/>
        </w:rPr>
      </w:pPr>
      <w:r>
        <w:rPr>
          <w:lang w:val="en-GB"/>
        </w:rPr>
        <w:t>fMRI data were acquired using a 3T Siemens TRIO scanner</w:t>
      </w:r>
      <w:r>
        <w:rPr>
          <w:color w:val="000000"/>
          <w:lang w:val="en-GB"/>
        </w:rPr>
        <w:t xml:space="preserve"> equipped with a standard (whole-head) Siemens 8-channel array head coil</w:t>
      </w:r>
      <w:r>
        <w:rPr>
          <w:lang w:val="en-GB"/>
        </w:rPr>
        <w:t xml:space="preserve"> and a custom-built 8-channel array coil (Stark Contrast, Erlangen, Germany) optimised for the occipital cortex (referred to as a posterior array or PA coil).</w:t>
      </w:r>
    </w:p>
    <w:p w:rsidR="0001686F" w:rsidRDefault="0001686F" w:rsidP="00CC3A24">
      <w:pPr>
        <w:pStyle w:val="NormalWeb"/>
        <w:spacing w:after="0" w:line="360" w:lineRule="auto"/>
        <w:ind w:firstLine="708"/>
        <w:jc w:val="both"/>
        <w:rPr>
          <w:lang w:val="en-GB"/>
        </w:rPr>
      </w:pPr>
      <w:r>
        <w:rPr>
          <w:lang w:val="en-GB"/>
        </w:rPr>
        <w:t>Visual stimuli, constructed using C++ and OpenGL were projected onto a screen at the end of the scanner bore by an LCD projector. Participants viewed the screen, whilst lying supine in the bore of the scanner, via a mirror positioned ~15 cm from their eyes. The screen refresh rate was 60 Hz and the resolution was 1024*768 pixels. The visible portion of the screen was approximately circular (diameter 30º).</w:t>
      </w:r>
    </w:p>
    <w:p w:rsidR="0001686F" w:rsidRPr="0001686F" w:rsidRDefault="0001686F" w:rsidP="00CC3A24">
      <w:pPr>
        <w:pStyle w:val="NormalWeb"/>
        <w:spacing w:after="0" w:line="360" w:lineRule="auto"/>
        <w:ind w:firstLine="708"/>
        <w:jc w:val="both"/>
        <w:rPr>
          <w:lang w:val="en-US"/>
        </w:rPr>
      </w:pPr>
      <w:r>
        <w:rPr>
          <w:lang w:val="en-GB"/>
        </w:rPr>
        <w:t>Eight participants (one male; age 19-32) participated in the study. They were tested in two separate scan sessions on different days. The first session was conducted using the standard headcoil, for even brain coverage. It included a high-resolution anatomical scan of the whole brain to which all the functional images were aligned (</w:t>
      </w:r>
      <w:r>
        <w:rPr>
          <w:color w:val="000000"/>
          <w:lang w:val="en-GB"/>
        </w:rPr>
        <w:t>MDEFT; Deichmann et al., 2004;</w:t>
      </w:r>
      <w:r>
        <w:rPr>
          <w:color w:val="000066"/>
          <w:lang w:val="en-GB"/>
        </w:rPr>
        <w:t xml:space="preserve"> </w:t>
      </w:r>
      <w:r>
        <w:rPr>
          <w:color w:val="000000"/>
          <w:lang w:val="en-GB"/>
        </w:rPr>
        <w:t xml:space="preserve">176 axial slices, in-plane resolution 256 x 256, 1 mm isotropic voxels, TR = 7.92 ms, TE = 2.45 ms, flip angle = 16, bandwidth = 195 Hz/pixel]. This scan was chosen because, although slow to acquire, it gives very high contrast between grey and white matter. In addition, </w:t>
      </w:r>
      <w:r>
        <w:rPr>
          <w:lang w:val="en-GB"/>
        </w:rPr>
        <w:t xml:space="preserve">retinotopic areas V1-V3 were demarcated using standard retinotopic mapping procedures (Engel et al., 1994; Sereno et al., 1995). Two stimulus runs were performed, with binocular viewing via a standard mirror. In each run, </w:t>
      </w:r>
      <w:r>
        <w:rPr>
          <w:color w:val="000000"/>
          <w:lang w:val="en-GB"/>
        </w:rPr>
        <w:t xml:space="preserve">a counterphasing checkerboard ‘‘wedge’’ stimulus (a 24º sector) rotated clockwise at a rate of 64 s/cycle (eight cycles per run). The counterphase frequency was 8 Hz and the rotating wedge covered an area 24º visual angle in diameter. Check size was scaled by eccentricity in approximate accordance with the cortical magnification factor. </w:t>
      </w:r>
      <w:r>
        <w:rPr>
          <w:lang w:val="en-GB"/>
        </w:rPr>
        <w:t>Images were acquired and pre-processed with a standard echoplanar (EPI) sequence (28 slices, TR 2000ms, TE 30 ms, 3 mm slices, 3x3 mm in-plane resolution).</w:t>
      </w:r>
    </w:p>
    <w:p w:rsidR="0001686F" w:rsidRDefault="0001686F" w:rsidP="00CC3A24">
      <w:pPr>
        <w:pStyle w:val="NormalWeb"/>
        <w:spacing w:after="0" w:line="360" w:lineRule="auto"/>
        <w:ind w:firstLine="708"/>
        <w:jc w:val="both"/>
        <w:rPr>
          <w:lang w:val="en-GB"/>
        </w:rPr>
      </w:pPr>
      <w:r>
        <w:rPr>
          <w:lang w:val="en-GB"/>
        </w:rPr>
        <w:t xml:space="preserve">The second session was conducted using the PA coil, for optimum sensitivity in occipital cortex. It consisted of a fast 3D anatomical scan (MP-RAGE, Siemens), used in the re-alignment process. This was followed by eight functional runs with the main task [EPI, 35 slices, TR 2.5s, TE 30 ms, 3 mm slices, 3x3 mm in-plane resolution, 115-125 volumes (according to the event timings), total duration 5min (average)]. Each of these eight runs contained eighteen orientation discrimination trials performed while the subject was fixating a square in the centre of the screen. In addition to the eight functional runs, several short EPI scans were acquired with the PA coil and an integral body coil, to assist with co-registration. </w:t>
      </w:r>
    </w:p>
    <w:p w:rsidR="0001686F" w:rsidRDefault="0001686F" w:rsidP="00CC3A24">
      <w:pPr>
        <w:pStyle w:val="NormalWeb"/>
        <w:spacing w:after="0" w:line="360" w:lineRule="auto"/>
        <w:ind w:firstLine="708"/>
        <w:jc w:val="both"/>
        <w:rPr>
          <w:lang w:val="en-GB"/>
        </w:rPr>
      </w:pPr>
      <w:r>
        <w:rPr>
          <w:lang w:val="en-GB"/>
        </w:rPr>
        <w:t>The task was orientation discrimination. Trials at four levels of difficulty were randomly inter-mixed across the whole experiment. This ensured that participants could perform the task sufficiently well on some trials from the start, while also allowing scope for improving performance over time in harder trials. Each trial consisted of a cue followed by a pair of grating stimuli. The cue was displayed for 500 ms. It informed the participant of the difficulty of the trial by means of a small arrow at fixation pointing in one of four different directions (where 0 degrees is vertical and directions progress clockwise: 300deg - very easy; 330deg - easy; 30deg - difficult; 60deg - very difficult). The stimulus was presented for 1000 ms and was composed of two counterphasing Gabors (0.25 c/deg, 3 Hz, SD 1deg, truncated at 3 deg radius, peak contrast 100%). These were located on the horizontal meridian, one on the left and one on the right side of the fixation square, centered at an eccentricity of 5 deg. They had slightly different orientations and the task was to identify whether the orientation of the left Gabor was rotated clockwise or counterclockwise compared with the right one, by pressing one of two buttons. The reference Gabor (right) could appear in any of seven different, equally spaced orientations (30-60 degrees where 0 is vertical, steps of 5 degrees). The comparison Gabor (left) differed from the reference Gabor by ± 2, 4, 6 or 8 degrees, in accordance with the difficulty cue. No feedback was provided.</w:t>
      </w:r>
      <w:r>
        <w:rPr>
          <w:color w:val="FF0000"/>
          <w:lang w:val="en-GB"/>
        </w:rPr>
        <w:t xml:space="preserve"> </w:t>
      </w:r>
      <w:r>
        <w:rPr>
          <w:lang w:val="en-GB"/>
        </w:rPr>
        <w:t>The difficulty level of the task was varied randomly from trial to trial according to a rectangular probability distribution that was different for each run. Over the eight runs, each difficulty level was presented 36 times.</w:t>
      </w:r>
      <w:r w:rsidR="00DE1684">
        <w:rPr>
          <w:lang w:val="en-GB"/>
        </w:rPr>
        <w:t xml:space="preserve"> </w:t>
      </w:r>
    </w:p>
    <w:p w:rsidR="00DE1684" w:rsidRPr="0001686F" w:rsidRDefault="00DE1684" w:rsidP="00DE1684">
      <w:pPr>
        <w:pStyle w:val="NormalWeb"/>
        <w:spacing w:after="0" w:line="360" w:lineRule="auto"/>
        <w:jc w:val="center"/>
        <w:rPr>
          <w:lang w:val="en-US"/>
        </w:rPr>
      </w:pPr>
      <w:r>
        <w:rPr>
          <w:noProof/>
          <w:lang w:val="en-GB" w:eastAsia="en-GB"/>
        </w:rPr>
        <w:drawing>
          <wp:inline distT="0" distB="0" distL="0" distR="0">
            <wp:extent cx="2622085" cy="2800800"/>
            <wp:effectExtent l="1905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2622085" cy="2800800"/>
                    </a:xfrm>
                    <a:prstGeom prst="rect">
                      <a:avLst/>
                    </a:prstGeom>
                    <a:noFill/>
                    <a:ln w="9525">
                      <a:noFill/>
                      <a:miter lim="800000"/>
                      <a:headEnd/>
                      <a:tailEnd/>
                    </a:ln>
                  </pic:spPr>
                </pic:pic>
              </a:graphicData>
            </a:graphic>
          </wp:inline>
        </w:drawing>
      </w:r>
    </w:p>
    <w:p w:rsidR="00DE1684" w:rsidRDefault="00084966" w:rsidP="00DE1684">
      <w:pPr>
        <w:pStyle w:val="NormalWeb"/>
        <w:spacing w:after="0" w:line="360" w:lineRule="auto"/>
        <w:jc w:val="both"/>
        <w:rPr>
          <w:color w:val="000000"/>
          <w:sz w:val="18"/>
          <w:szCs w:val="18"/>
          <w:lang w:val="en-US"/>
        </w:rPr>
      </w:pPr>
      <w:r>
        <w:rPr>
          <w:color w:val="000000"/>
          <w:sz w:val="18"/>
          <w:szCs w:val="18"/>
          <w:lang w:val="en-GB"/>
        </w:rPr>
        <w:t>Fig 28</w:t>
      </w:r>
      <w:r w:rsidR="00DE1684">
        <w:rPr>
          <w:color w:val="000000"/>
          <w:sz w:val="18"/>
          <w:szCs w:val="18"/>
          <w:lang w:val="en-GB"/>
        </w:rPr>
        <w:t xml:space="preserve"> Time course of one trial. A cue indicating the difficulty level of the task was followed after a variable interval by a pair of Gabor stimuli, immediately followed by a cue to respond. In the example shown, the cue indicates “very difficult” (arrow points 60 deg </w:t>
      </w:r>
      <w:r w:rsidR="00DE1684" w:rsidRPr="00DE1684">
        <w:rPr>
          <w:color w:val="000000"/>
          <w:sz w:val="18"/>
          <w:szCs w:val="18"/>
          <w:lang w:val="en-US"/>
        </w:rPr>
        <w:t>clockwise from vertical).</w:t>
      </w:r>
    </w:p>
    <w:p w:rsidR="00650134" w:rsidRPr="00DE1684" w:rsidRDefault="00650134" w:rsidP="00DE1684">
      <w:pPr>
        <w:pStyle w:val="NormalWeb"/>
        <w:spacing w:after="0" w:line="360" w:lineRule="auto"/>
        <w:jc w:val="both"/>
        <w:rPr>
          <w:lang w:val="en-US"/>
        </w:rPr>
      </w:pPr>
    </w:p>
    <w:p w:rsidR="00DE1684" w:rsidRDefault="00DE1684" w:rsidP="00CC3A24">
      <w:pPr>
        <w:pStyle w:val="NormalWeb"/>
        <w:spacing w:after="0" w:line="360" w:lineRule="auto"/>
        <w:ind w:firstLine="708"/>
        <w:jc w:val="both"/>
        <w:rPr>
          <w:lang w:val="en-GB"/>
        </w:rPr>
      </w:pPr>
      <w:r>
        <w:rPr>
          <w:lang w:val="en-GB"/>
        </w:rPr>
        <w:t xml:space="preserve">Between the difficulty cue and the stimulus the screen was blank, apart from the fixation square, for a random time (rectangular probability distribution between 6 and 9 sec for 75% of the trials and between 3 and 6 sec for the remaining 25% of the trials; average 6.75s). This arrangement gives a long enough mean interval to allow separate detection of responses to the cue and stimulus, while discouraging the subject from ignoring the first few seconds and attending only towards the end of the interval. After the stimulus presentation, the fixation square turned blue for two seconds indicating that the subject should respond. The subject was requested to keep fixating the fixation point throughout the whole experiment. The use of two simultaneous locations was intended to discourage eye movements towards the targets during trials: performing the task is easiest and most natural when fixating midway between the two Gabor patches. </w:t>
      </w:r>
    </w:p>
    <w:p w:rsidR="00DE1684" w:rsidRDefault="00DE1684" w:rsidP="00CC3A24">
      <w:pPr>
        <w:pStyle w:val="NormalWeb"/>
        <w:spacing w:after="0" w:line="360" w:lineRule="auto"/>
        <w:ind w:firstLine="708"/>
        <w:jc w:val="both"/>
        <w:rPr>
          <w:lang w:val="en-GB"/>
        </w:rPr>
      </w:pPr>
      <w:r>
        <w:rPr>
          <w:lang w:val="en-GB"/>
        </w:rPr>
        <w:t>Each run contained 18 trials separated by an inter-trial interval in which the screen was uniform apart from the fixation square. The interval varied between 4 and 12 sec with a Poisson probability distribution (see Hagberg et al, 2001). The mean interval was 6 sec, the maximum and minimum were 12 sec and 4 sec and the interval varied in steps of 0.5sec. Eight runs were conducted, each using a different random sequence of trials, with short breaks between runs. The scan duration was approximately 45 minutes including the anatomical scan. Before entering the scanner, the participant was familiarized with the task and then completed one practice run.</w:t>
      </w:r>
    </w:p>
    <w:p w:rsidR="00DE1684" w:rsidRDefault="00DE1684" w:rsidP="00DE1684">
      <w:pPr>
        <w:pStyle w:val="NormalWeb"/>
        <w:spacing w:after="0" w:line="360" w:lineRule="auto"/>
        <w:jc w:val="both"/>
        <w:rPr>
          <w:lang w:val="en-GB"/>
        </w:rPr>
      </w:pPr>
    </w:p>
    <w:p w:rsidR="00DE1684" w:rsidRDefault="00DE1684" w:rsidP="000262BE">
      <w:pPr>
        <w:pStyle w:val="NormalWeb"/>
        <w:spacing w:after="0" w:line="360" w:lineRule="auto"/>
        <w:jc w:val="both"/>
        <w:outlineLvl w:val="0"/>
        <w:rPr>
          <w:lang w:val="en-GB"/>
        </w:rPr>
      </w:pPr>
      <w:r>
        <w:rPr>
          <w:i/>
          <w:iCs/>
          <w:color w:val="000000"/>
          <w:lang w:val="en-GB"/>
        </w:rPr>
        <w:t>Analysis</w:t>
      </w:r>
    </w:p>
    <w:p w:rsidR="00DE1684" w:rsidRPr="00DE1684" w:rsidRDefault="00DE1684" w:rsidP="00CC3A24">
      <w:pPr>
        <w:pStyle w:val="NormalWeb"/>
        <w:spacing w:after="0" w:line="360" w:lineRule="auto"/>
        <w:ind w:firstLine="708"/>
        <w:jc w:val="both"/>
        <w:rPr>
          <w:lang w:val="en-US"/>
        </w:rPr>
      </w:pPr>
      <w:r>
        <w:rPr>
          <w:color w:val="000000"/>
          <w:lang w:val="en-GB"/>
        </w:rPr>
        <w:t xml:space="preserve">All data were pre-processed and analyzed with </w:t>
      </w:r>
      <w:r>
        <w:rPr>
          <w:i/>
          <w:iCs/>
          <w:color w:val="000000"/>
          <w:lang w:val="en-GB"/>
        </w:rPr>
        <w:t>BrainVoyager QX</w:t>
      </w:r>
      <w:r>
        <w:rPr>
          <w:color w:val="000000"/>
          <w:lang w:val="en-GB"/>
        </w:rPr>
        <w:t xml:space="preserve"> (version 1.10, Brain Innovation, The Netherlands). </w:t>
      </w:r>
      <w:r>
        <w:rPr>
          <w:lang w:val="en-GB"/>
        </w:rPr>
        <w:t xml:space="preserve">The first five volumes of each run were excluded from the analysis to allow for saturation effects. </w:t>
      </w:r>
      <w:r>
        <w:rPr>
          <w:color w:val="000000"/>
          <w:lang w:val="en-GB"/>
        </w:rPr>
        <w:t xml:space="preserve">EPIs were corrected for head motion and slice timing, and were filtered with a temporal high-pass filter of </w:t>
      </w:r>
      <w:r>
        <w:rPr>
          <w:lang w:val="en-GB"/>
        </w:rPr>
        <w:t>0.01</w:t>
      </w:r>
      <w:r>
        <w:rPr>
          <w:color w:val="000000"/>
          <w:lang w:val="en-GB"/>
        </w:rPr>
        <w:t xml:space="preserve"> Hz.</w:t>
      </w:r>
      <w:r>
        <w:rPr>
          <w:lang w:val="en-GB"/>
        </w:rPr>
        <w:t xml:space="preserve"> All functional images were aligned to an EPI volume acquired at the beginning of the scan session. This was co-registered to the MDEFT anatomical volume. </w:t>
      </w:r>
    </w:p>
    <w:p w:rsidR="00DE1684" w:rsidRDefault="00DE1684" w:rsidP="00CC3A24">
      <w:pPr>
        <w:pStyle w:val="NormalWeb"/>
        <w:spacing w:after="0" w:line="360" w:lineRule="auto"/>
        <w:ind w:firstLine="708"/>
        <w:jc w:val="both"/>
        <w:rPr>
          <w:lang w:val="en-GB"/>
        </w:rPr>
      </w:pPr>
      <w:r>
        <w:rPr>
          <w:lang w:val="en-GB"/>
        </w:rPr>
        <w:t>Analysis was conducted within the General Linear Model (GLM). Regressors of interest were constructed from the onset times of the events. Separate regressors were used for the cue and the task and for each of the 4 levels of difficulty (8 regressors of interest in total). As well as the eight event regressors, six head-movement regressors were included, derived from the realignment of the images. The regressors were tested to ensure that they were not significantly correlated, setting the maximum allowable correlation between any pair of regressors at 0.2.</w:t>
      </w:r>
    </w:p>
    <w:p w:rsidR="00DE1684" w:rsidRPr="00DE1684" w:rsidRDefault="00DE1684" w:rsidP="00CC3A24">
      <w:pPr>
        <w:pStyle w:val="NormalWeb"/>
        <w:spacing w:after="0" w:line="360" w:lineRule="auto"/>
        <w:ind w:firstLine="708"/>
        <w:jc w:val="both"/>
        <w:rPr>
          <w:lang w:val="en-US"/>
        </w:rPr>
      </w:pPr>
      <w:r>
        <w:rPr>
          <w:lang w:val="en-GB"/>
        </w:rPr>
        <w:t xml:space="preserve">Each stimulus presentation was modeled as a boxcar of 1 s duration and each pre-stimulus period, commencing with a difficulty cue presentation, was modelled as a boxcar of 0.5 s duration, convolved in each case with a canonical haemodynamic response function. The choice of model for the pre-stimulus period is not straightforward. It might be expected that any attention-related increase in BOLD would commence following the cue and be maintained until the stimulus appears. However, Sylvester et al. (2007) found that in early visual areas, pre-stimulus activity peaks at 6-8 sec after the cue and then decreases, even though behavioural data showed that attention was maintained until stimulus onset. Thus, the timecourse was not very different from the haemodynamic impulse response function (HIRF). In order to estimate the temporal profile of activity in the pre-stimulus period it is necessary to separate the overlapping responses to the various events. To do this, we performed a deconvolution analysis. First, each timeseries was temporally re-sampled to produce a timeseries with a resolution of 0.5s (the unit of time used for defining stimulus events) by sinc interpolation. Each re-sampled timeseries was then low-pass temporally filtered to remove high frequency artefacts introduced by the re-sampling. The re-sampled timeseries were averaged across all the voxels in a given region of interest (defined below). Finally, the temporal profile of the pre-stimulus activity was estimated by deconvolution, The analysis confirmed that the BOLD response is transient and in fact differed little from the standard HIRF (see Results), and so it was decided to use a standard model. </w:t>
      </w:r>
    </w:p>
    <w:p w:rsidR="00DE1684" w:rsidRDefault="00DE1684" w:rsidP="00CC3A24">
      <w:pPr>
        <w:pStyle w:val="NormalWeb"/>
        <w:spacing w:after="0" w:line="360" w:lineRule="auto"/>
        <w:ind w:firstLine="708"/>
        <w:jc w:val="both"/>
        <w:rPr>
          <w:lang w:val="en-GB"/>
        </w:rPr>
      </w:pPr>
      <w:r>
        <w:rPr>
          <w:lang w:val="en-GB"/>
        </w:rPr>
        <w:t xml:space="preserve">A separate analysis was conducted for each participant. The regressors were entered into a multiple regression analysis to generate parameter estimates for each regressor at every voxel. Correction for effects of serial autocorrelations, which we regard as essential in single-subject analyses (Smith et al, 2007), was applied using the AR(1) method. </w:t>
      </w:r>
    </w:p>
    <w:p w:rsidR="00DE1684" w:rsidRPr="00DE1684" w:rsidRDefault="00DE1684" w:rsidP="00CC3A24">
      <w:pPr>
        <w:pStyle w:val="NormalWeb"/>
        <w:spacing w:after="0" w:line="360" w:lineRule="auto"/>
        <w:ind w:firstLine="708"/>
        <w:jc w:val="both"/>
        <w:rPr>
          <w:lang w:val="en-US"/>
        </w:rPr>
      </w:pPr>
      <w:r>
        <w:rPr>
          <w:lang w:val="en-GB"/>
        </w:rPr>
        <w:t>The results were visualized using flattened representations of each person’s grey matter derived from the MDEFT anatomical scan.</w:t>
      </w:r>
      <w:r>
        <w:rPr>
          <w:rFonts w:ascii="Cambria" w:hAnsi="Cambria"/>
          <w:lang w:val="en-GB"/>
        </w:rPr>
        <w:t xml:space="preserve"> </w:t>
      </w:r>
      <w:r>
        <w:rPr>
          <w:lang w:val="en-GB"/>
        </w:rPr>
        <w:t xml:space="preserve">The flattened representation was created by segmenting and reconstructing the border between grey and white matter within each hemisphere of the MDEFT scan using with </w:t>
      </w:r>
      <w:r>
        <w:rPr>
          <w:i/>
          <w:iCs/>
          <w:lang w:val="en-GB"/>
        </w:rPr>
        <w:t>BrainVoyager</w:t>
      </w:r>
      <w:r>
        <w:rPr>
          <w:lang w:val="en-GB"/>
        </w:rPr>
        <w:t>. The resulting surfaces were smoothed, inflated, and cut along the calcarine sulcus. Finally, the surface was flattened and corrected for linear distortions.</w:t>
      </w:r>
      <w:r>
        <w:rPr>
          <w:color w:val="000000"/>
          <w:lang w:val="en-GB"/>
        </w:rPr>
        <w:t xml:space="preserve"> Retinotopic mapping data were analyzed by fitting a model to the timecourse obtained with the rotating wedge stimulus. This consisted of a rectangular wave of duty cycle 24/360, reflecting the duration of stimulation at any portion of the visual field, convolved with the HRF. The phase of the fitted response was taken as an index of visual-field location, in terms of polar angle. Reversals of the direction of phase change across the cortical surface were taken as boundaries of visual areas. The boundaries of </w:t>
      </w:r>
      <w:r>
        <w:rPr>
          <w:color w:val="000066"/>
          <w:lang w:val="en-GB"/>
        </w:rPr>
        <w:t>v</w:t>
      </w:r>
      <w:r>
        <w:rPr>
          <w:color w:val="000000"/>
          <w:lang w:val="en-GB"/>
        </w:rPr>
        <w:t>isual areas V1–V3 were drawn by eye, on the basis of these reversals viewed on a flattened version of each participant’s reference anatomy.</w:t>
      </w:r>
      <w:r>
        <w:rPr>
          <w:rFonts w:ascii="Cambria" w:hAnsi="Cambria"/>
          <w:color w:val="000000"/>
          <w:lang w:val="en-GB"/>
        </w:rPr>
        <w:t xml:space="preserve"> </w:t>
      </w:r>
    </w:p>
    <w:p w:rsidR="00DE1684" w:rsidRDefault="00DE1684" w:rsidP="00CC3A24">
      <w:pPr>
        <w:pStyle w:val="NormalWeb"/>
        <w:spacing w:after="0" w:line="360" w:lineRule="auto"/>
        <w:ind w:firstLine="708"/>
        <w:jc w:val="both"/>
        <w:rPr>
          <w:lang w:val="en-GB"/>
        </w:rPr>
      </w:pPr>
      <w:r>
        <w:rPr>
          <w:lang w:val="en-GB"/>
        </w:rPr>
        <w:t>Statistical maps for each subject were thresholded (p&lt;0.001 uncorrected). Within each visual area (V1, V2, V3) defined by retinotopic mapping, a region of interest (ROI) was defined based on the activations due to the stimulus presentation in the main experiment (average of all 8 runs). Basing the ROI on stimulus-related activations rather than pre-stimulus (anticipatory) responses means that the ROIs used for examining the pre-stimulus responses, which was the object of the study, are based on different data from those being evaluated. In the case of the stimulus-related response, use of the same data for the ROI may bias the effect size estimates towards larger effects, but this is unimportant because no comparisons between anticipatory and stimulus response magnitudes were made. Stimulus-related responses, which have been examined in several previous studies, are shown only for comparison. Visual areas were defined separately in each hemisphere, yielding six ROIs in total. ROIs so defined are illustrat</w:t>
      </w:r>
      <w:r w:rsidR="00084966">
        <w:rPr>
          <w:lang w:val="en-GB"/>
        </w:rPr>
        <w:t>ed for one participant in Fig. 29</w:t>
      </w:r>
      <w:r>
        <w:rPr>
          <w:lang w:val="en-GB"/>
        </w:rPr>
        <w:t xml:space="preserve">. </w:t>
      </w:r>
    </w:p>
    <w:p w:rsidR="00DE1684" w:rsidRDefault="00DE1684" w:rsidP="00561484">
      <w:pPr>
        <w:pStyle w:val="NormalWeb"/>
        <w:spacing w:after="0" w:line="360" w:lineRule="auto"/>
        <w:jc w:val="center"/>
        <w:rPr>
          <w:lang w:val="en-GB"/>
        </w:rPr>
      </w:pPr>
      <w:r>
        <w:rPr>
          <w:noProof/>
          <w:lang w:val="en-GB" w:eastAsia="en-GB"/>
        </w:rPr>
        <w:drawing>
          <wp:inline distT="0" distB="0" distL="0" distR="0">
            <wp:extent cx="5400000" cy="3370168"/>
            <wp:effectExtent l="1905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5400000" cy="3370168"/>
                    </a:xfrm>
                    <a:prstGeom prst="rect">
                      <a:avLst/>
                    </a:prstGeom>
                    <a:noFill/>
                    <a:ln w="9525">
                      <a:noFill/>
                      <a:miter lim="800000"/>
                      <a:headEnd/>
                      <a:tailEnd/>
                    </a:ln>
                  </pic:spPr>
                </pic:pic>
              </a:graphicData>
            </a:graphic>
          </wp:inline>
        </w:drawing>
      </w:r>
    </w:p>
    <w:p w:rsidR="00DE1684" w:rsidRDefault="00084966" w:rsidP="00DE1684">
      <w:pPr>
        <w:pStyle w:val="NormalWeb"/>
        <w:spacing w:after="0" w:line="360" w:lineRule="auto"/>
        <w:jc w:val="both"/>
        <w:rPr>
          <w:lang w:val="en-GB"/>
        </w:rPr>
      </w:pPr>
      <w:r>
        <w:rPr>
          <w:sz w:val="18"/>
          <w:szCs w:val="18"/>
          <w:lang w:val="en-GB"/>
        </w:rPr>
        <w:t>Fig.29</w:t>
      </w:r>
      <w:r w:rsidR="00DE1684">
        <w:rPr>
          <w:sz w:val="18"/>
          <w:szCs w:val="18"/>
          <w:lang w:val="en-GB"/>
        </w:rPr>
        <w:t xml:space="preserve"> </w:t>
      </w:r>
      <w:r w:rsidR="00DE1684">
        <w:rPr>
          <w:b/>
          <w:bCs/>
          <w:sz w:val="18"/>
          <w:szCs w:val="18"/>
          <w:lang w:val="en-GB"/>
        </w:rPr>
        <w:t>(a)</w:t>
      </w:r>
      <w:r w:rsidR="00DE1684">
        <w:rPr>
          <w:sz w:val="18"/>
          <w:szCs w:val="18"/>
          <w:lang w:val="en-GB"/>
        </w:rPr>
        <w:t xml:space="preserve"> Flattened representation of the occipital cortex of one hemisphere showing retinotopic areas (V1-V3). Stimulus-related BOLD activation is superimposed as a colour overlay, averaged across all 8 runs in the main experiment. The activation largely excludes the fovea and far periphery, reflecting the location of the stimulus. The ROIs used for quantitative analysis are shown. </w:t>
      </w:r>
      <w:r w:rsidR="00DE1684">
        <w:rPr>
          <w:b/>
          <w:bCs/>
          <w:sz w:val="18"/>
          <w:szCs w:val="18"/>
          <w:lang w:val="en-GB"/>
        </w:rPr>
        <w:t>(b)</w:t>
      </w:r>
      <w:r w:rsidR="00DE1684">
        <w:rPr>
          <w:sz w:val="18"/>
          <w:szCs w:val="18"/>
          <w:lang w:val="en-GB"/>
        </w:rPr>
        <w:t xml:space="preserve"> Pre-stimulus BOLD activation from the same dataset. The activity that is weaker than the stimulus-related activity, as expected, but has a very similar spatial extent.</w:t>
      </w:r>
    </w:p>
    <w:p w:rsidR="00DE1684" w:rsidRDefault="00DE1684" w:rsidP="000262BE">
      <w:pPr>
        <w:pStyle w:val="NormalWeb"/>
        <w:spacing w:after="0" w:line="360" w:lineRule="auto"/>
        <w:outlineLvl w:val="0"/>
        <w:rPr>
          <w:lang w:val="en-GB"/>
        </w:rPr>
      </w:pPr>
      <w:r>
        <w:rPr>
          <w:lang w:val="en-GB"/>
        </w:rPr>
        <w:t>3.7.4 Results</w:t>
      </w:r>
    </w:p>
    <w:p w:rsidR="00DE1684" w:rsidRDefault="00DE1684" w:rsidP="00DE1684">
      <w:pPr>
        <w:pStyle w:val="NormalWeb"/>
        <w:spacing w:after="0" w:line="360" w:lineRule="auto"/>
        <w:rPr>
          <w:lang w:val="en-GB"/>
        </w:rPr>
      </w:pPr>
    </w:p>
    <w:p w:rsidR="00DE1684" w:rsidRDefault="00DE1684" w:rsidP="000262BE">
      <w:pPr>
        <w:pStyle w:val="NormalWeb"/>
        <w:spacing w:after="0" w:line="360" w:lineRule="auto"/>
        <w:outlineLvl w:val="0"/>
        <w:rPr>
          <w:lang w:val="en-GB"/>
        </w:rPr>
      </w:pPr>
      <w:r>
        <w:rPr>
          <w:i/>
          <w:iCs/>
          <w:lang w:val="en-GB"/>
        </w:rPr>
        <w:t>Performance data</w:t>
      </w:r>
    </w:p>
    <w:p w:rsidR="00DE1684" w:rsidRDefault="00DE1684" w:rsidP="00EC205D">
      <w:pPr>
        <w:pStyle w:val="NormalWeb"/>
        <w:spacing w:after="0" w:line="360" w:lineRule="auto"/>
        <w:ind w:firstLine="708"/>
        <w:jc w:val="both"/>
        <w:rPr>
          <w:lang w:val="en-GB"/>
        </w:rPr>
      </w:pPr>
      <w:r>
        <w:rPr>
          <w:lang w:val="en-GB"/>
        </w:rPr>
        <w:t>The behavioura</w:t>
      </w:r>
      <w:r w:rsidR="00084966">
        <w:rPr>
          <w:lang w:val="en-GB"/>
        </w:rPr>
        <w:t>l data are summarized in Fig. 30</w:t>
      </w:r>
      <w:r>
        <w:rPr>
          <w:lang w:val="en-GB"/>
        </w:rPr>
        <w:t>a. Performance is around 90% at the two easiest difficulty levels and then declines, reaching about 60% at the hardest level (chance is 50%). To reveal any changes that might occur over time as learning progressed, the trials were divided into early (trials from the first four runs) and late (those from the last four runs). Performance increases over time for all difficulty levels, as shown by the difference between the early and late trials. The performance data confirm that a suitable range of difficulties was chosen and that the participants were learning the task and did not decrease their efforts over time.  To quantify the effects of learning more fully, performance was plotted as a function of time, separately for each difficulty level. Performance at a given time was estimated as the average of the outcome of the trial at that time point and the two neighbouring trials of the same type before and after it (5 trials total). This was plotted as a moving average, over time. An example (difficu</w:t>
      </w:r>
      <w:r w:rsidR="00084966">
        <w:rPr>
          <w:lang w:val="en-GB"/>
        </w:rPr>
        <w:t>lty level 2) is shown in Fig. 30</w:t>
      </w:r>
      <w:r>
        <w:rPr>
          <w:lang w:val="en-GB"/>
        </w:rPr>
        <w:t>B. The other difficulty levels show a similar pattern. Although the learning curves show saturation, a linear function was fitted in order to give a simple index of learning that could be compared across conditions, and the slope of this fit was taken as the index of learning at a given difficulty level (e.g. zero slope indicates no learning). A plot of slope against diffi</w:t>
      </w:r>
      <w:r w:rsidR="00084966">
        <w:rPr>
          <w:lang w:val="en-GB"/>
        </w:rPr>
        <w:t>culty (Fig. 30</w:t>
      </w:r>
      <w:r>
        <w:rPr>
          <w:lang w:val="en-GB"/>
        </w:rPr>
        <w:t>c) shows that the rate of learning is greatest in the easiest task condition. Fig. 31c was derived primarily for comparison with the imaging data.</w:t>
      </w:r>
    </w:p>
    <w:p w:rsidR="00DE1684" w:rsidRDefault="00DE1684" w:rsidP="00DE1684">
      <w:pPr>
        <w:pStyle w:val="NormalWeb"/>
        <w:spacing w:after="0" w:line="360" w:lineRule="auto"/>
        <w:jc w:val="center"/>
        <w:rPr>
          <w:lang w:val="en-GB"/>
        </w:rPr>
      </w:pPr>
      <w:r>
        <w:rPr>
          <w:noProof/>
          <w:lang w:val="en-GB" w:eastAsia="en-GB"/>
        </w:rPr>
        <w:drawing>
          <wp:inline distT="0" distB="0" distL="0" distR="0">
            <wp:extent cx="2597045" cy="4500000"/>
            <wp:effectExtent l="2540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lum/>
                    </a:blip>
                    <a:srcRect/>
                    <a:stretch>
                      <a:fillRect/>
                    </a:stretch>
                  </pic:blipFill>
                  <pic:spPr bwMode="auto">
                    <a:xfrm>
                      <a:off x="0" y="0"/>
                      <a:ext cx="2597045" cy="4500000"/>
                    </a:xfrm>
                    <a:prstGeom prst="rect">
                      <a:avLst/>
                    </a:prstGeom>
                    <a:noFill/>
                    <a:ln w="9525">
                      <a:noFill/>
                      <a:miter lim="800000"/>
                      <a:headEnd/>
                      <a:tailEnd/>
                    </a:ln>
                  </pic:spPr>
                </pic:pic>
              </a:graphicData>
            </a:graphic>
          </wp:inline>
        </w:drawing>
      </w:r>
    </w:p>
    <w:p w:rsidR="00DE1684" w:rsidRDefault="00DE1684" w:rsidP="00DE1684">
      <w:pPr>
        <w:pStyle w:val="NormalWeb"/>
        <w:spacing w:after="0" w:line="360" w:lineRule="auto"/>
        <w:jc w:val="both"/>
        <w:rPr>
          <w:lang w:val="en-GB"/>
        </w:rPr>
      </w:pPr>
      <w:r>
        <w:rPr>
          <w:sz w:val="18"/>
          <w:szCs w:val="18"/>
          <w:lang w:val="en-GB"/>
        </w:rPr>
        <w:t>Fig.3</w:t>
      </w:r>
      <w:r w:rsidR="00084966">
        <w:rPr>
          <w:sz w:val="18"/>
          <w:szCs w:val="18"/>
          <w:lang w:val="en-GB"/>
        </w:rPr>
        <w:t>0</w:t>
      </w:r>
      <w:r>
        <w:rPr>
          <w:b/>
          <w:bCs/>
          <w:sz w:val="18"/>
          <w:szCs w:val="18"/>
          <w:lang w:val="en-GB"/>
        </w:rPr>
        <w:t>(a)</w:t>
      </w:r>
      <w:r>
        <w:rPr>
          <w:sz w:val="18"/>
          <w:szCs w:val="18"/>
          <w:lang w:val="en-GB"/>
        </w:rPr>
        <w:t xml:space="preserve"> Percent correct responses as a function of task difficulty, averaged across participants. Results for early and late trials are plotted separately to show the effect of learning. </w:t>
      </w:r>
      <w:r>
        <w:rPr>
          <w:b/>
          <w:bCs/>
          <w:sz w:val="18"/>
          <w:szCs w:val="18"/>
          <w:lang w:val="en-GB"/>
        </w:rPr>
        <w:t>(b)</w:t>
      </w:r>
      <w:r>
        <w:rPr>
          <w:sz w:val="18"/>
          <w:szCs w:val="18"/>
          <w:lang w:val="en-GB"/>
        </w:rPr>
        <w:t xml:space="preserve"> Performance as a function of time averaged across participants at one difficulty level. </w:t>
      </w:r>
      <w:r>
        <w:rPr>
          <w:b/>
          <w:bCs/>
          <w:sz w:val="18"/>
          <w:szCs w:val="18"/>
          <w:lang w:val="en-GB"/>
        </w:rPr>
        <w:t>(c)</w:t>
      </w:r>
      <w:r>
        <w:rPr>
          <w:sz w:val="18"/>
          <w:szCs w:val="18"/>
          <w:lang w:val="en-GB"/>
        </w:rPr>
        <w:t xml:space="preserve"> Rate of learning (slope of learning curve) as a function of difficulty, averaged across participants.</w:t>
      </w:r>
    </w:p>
    <w:p w:rsidR="00DE1684" w:rsidRDefault="00084966" w:rsidP="00EC205D">
      <w:pPr>
        <w:pStyle w:val="NormalWeb"/>
        <w:spacing w:after="0" w:line="360" w:lineRule="auto"/>
        <w:ind w:firstLine="708"/>
        <w:jc w:val="both"/>
        <w:rPr>
          <w:lang w:val="en-GB"/>
        </w:rPr>
      </w:pPr>
      <w:r>
        <w:rPr>
          <w:lang w:val="en-GB"/>
        </w:rPr>
        <w:t>Fig. 30</w:t>
      </w:r>
      <w:r w:rsidR="00DE1684">
        <w:rPr>
          <w:lang w:val="en-GB"/>
        </w:rPr>
        <w:t xml:space="preserve"> shows clearly that performance improved over the course of the experiment. However, given that the training period was relatively short, we were concerned that the improvement might reflect factors other than orientation discrimination </w:t>
      </w:r>
      <w:r w:rsidR="00DE1684">
        <w:rPr>
          <w:i/>
          <w:iCs/>
          <w:lang w:val="en-GB"/>
        </w:rPr>
        <w:t>per se</w:t>
      </w:r>
      <w:r w:rsidR="00DE1684">
        <w:rPr>
          <w:lang w:val="en-GB"/>
        </w:rPr>
        <w:t>, such as learning to interpret the difficulty cues or learning the response mapping, The signature of perceptual learning is that it usually does not transfer to new locations or stimuli. This was not tested during the fMRI experiment and so a separate behavioural test was performed. The task was re-created outside the scanner and four new participants (two male and two female, age 21-32) with no experience of the task were tested. Each performed 8 runs identical to those used for fMRI, with the same stimuli, timings and task. Immediately following this, two additional runs were completed with the same task but with the orientation of the Gabors rotated by 90 deg, to test for transfer of learning to the orthogonal orientation</w:t>
      </w:r>
      <w:r>
        <w:rPr>
          <w:lang w:val="en-GB"/>
        </w:rPr>
        <w:t>. Figure 31</w:t>
      </w:r>
      <w:r w:rsidR="00DE1684">
        <w:rPr>
          <w:lang w:val="en-GB"/>
        </w:rPr>
        <w:t xml:space="preserve"> shows the results, averaged across participants. Performance is plotted as a function of time during training with the origi</w:t>
      </w:r>
      <w:r>
        <w:rPr>
          <w:lang w:val="en-GB"/>
        </w:rPr>
        <w:t>nal set of orientations (Fig. 31</w:t>
      </w:r>
      <w:r w:rsidR="00DE1684">
        <w:rPr>
          <w:lang w:val="en-GB"/>
        </w:rPr>
        <w:t>a) and then when tested with</w:t>
      </w:r>
      <w:r>
        <w:rPr>
          <w:lang w:val="en-GB"/>
        </w:rPr>
        <w:t xml:space="preserve"> orthogonal orientations (fig.31</w:t>
      </w:r>
      <w:r w:rsidR="00DE1684">
        <w:rPr>
          <w:lang w:val="en-GB"/>
        </w:rPr>
        <w:t>b). The performance data show a clear effect of learning during training with the original s</w:t>
      </w:r>
      <w:r>
        <w:rPr>
          <w:lang w:val="en-GB"/>
        </w:rPr>
        <w:t>et of orientation, as in Fig. 30</w:t>
      </w:r>
      <w:r w:rsidR="00DE1684">
        <w:rPr>
          <w:lang w:val="en-GB"/>
        </w:rPr>
        <w:t>. During subsequent testing with orthogonal orientations, performance returns to the initial level, indicating that the learning is specific for the set of orientations we used and does not transfer. The results are shown only for</w:t>
      </w:r>
      <w:r>
        <w:rPr>
          <w:lang w:val="en-GB"/>
        </w:rPr>
        <w:t xml:space="preserve"> one difficulty level in Fig. 31</w:t>
      </w:r>
      <w:r w:rsidR="00DE1684">
        <w:rPr>
          <w:lang w:val="en-GB"/>
        </w:rPr>
        <w:t xml:space="preserve"> but the other three levels showed the same effect. The results of this test indicate that the improvement reflects genuine perceptual learning rather than incidental learning or familiarization with the task.</w:t>
      </w:r>
    </w:p>
    <w:p w:rsidR="00DE1684" w:rsidRDefault="00DE1684" w:rsidP="00DE1684">
      <w:pPr>
        <w:pStyle w:val="NormalWeb"/>
        <w:spacing w:after="0" w:line="360" w:lineRule="auto"/>
        <w:jc w:val="center"/>
        <w:rPr>
          <w:lang w:val="en-US"/>
        </w:rPr>
      </w:pPr>
      <w:r>
        <w:rPr>
          <w:noProof/>
          <w:lang w:val="en-GB" w:eastAsia="en-GB"/>
        </w:rPr>
        <w:drawing>
          <wp:inline distT="0" distB="0" distL="0" distR="0">
            <wp:extent cx="3240000" cy="2172356"/>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3240000" cy="2172356"/>
                    </a:xfrm>
                    <a:prstGeom prst="rect">
                      <a:avLst/>
                    </a:prstGeom>
                    <a:noFill/>
                    <a:ln w="9525">
                      <a:noFill/>
                      <a:miter lim="800000"/>
                      <a:headEnd/>
                      <a:tailEnd/>
                    </a:ln>
                  </pic:spPr>
                </pic:pic>
              </a:graphicData>
            </a:graphic>
          </wp:inline>
        </w:drawing>
      </w:r>
    </w:p>
    <w:p w:rsidR="00DE1684" w:rsidRDefault="00084966" w:rsidP="00DE1684">
      <w:pPr>
        <w:pStyle w:val="NormalWeb"/>
        <w:spacing w:after="0" w:line="360" w:lineRule="auto"/>
        <w:jc w:val="both"/>
        <w:rPr>
          <w:lang w:val="en-GB"/>
        </w:rPr>
      </w:pPr>
      <w:r>
        <w:rPr>
          <w:sz w:val="18"/>
          <w:szCs w:val="18"/>
          <w:lang w:val="en-GB"/>
        </w:rPr>
        <w:t>Fig. 31</w:t>
      </w:r>
      <w:r w:rsidR="00DE1684">
        <w:rPr>
          <w:sz w:val="18"/>
          <w:szCs w:val="18"/>
          <w:lang w:val="en-GB"/>
        </w:rPr>
        <w:t xml:space="preserve"> Perceptual learning, averaged across four participants, in a supplementary experiment conducted outside the scanner.</w:t>
      </w:r>
      <w:r w:rsidR="00DE1684">
        <w:rPr>
          <w:b/>
          <w:bCs/>
          <w:sz w:val="18"/>
          <w:szCs w:val="18"/>
          <w:lang w:val="en-GB"/>
        </w:rPr>
        <w:t>(a)</w:t>
      </w:r>
      <w:r w:rsidR="00DE1684">
        <w:rPr>
          <w:sz w:val="18"/>
          <w:szCs w:val="18"/>
          <w:lang w:val="en-GB"/>
        </w:rPr>
        <w:t xml:space="preserve"> Learning during training equivalent to that given during the MRI experiment </w:t>
      </w:r>
      <w:r w:rsidR="00DE1684">
        <w:rPr>
          <w:b/>
          <w:bCs/>
          <w:sz w:val="18"/>
          <w:szCs w:val="18"/>
          <w:lang w:val="en-GB"/>
        </w:rPr>
        <w:t xml:space="preserve">(b) </w:t>
      </w:r>
      <w:r w:rsidR="00DE1684">
        <w:rPr>
          <w:sz w:val="18"/>
          <w:szCs w:val="18"/>
          <w:lang w:val="en-GB"/>
        </w:rPr>
        <w:t>Failure of transfer of learning when discrimination was subsequently tested at the same location but with the orthogonal orientation.</w:t>
      </w:r>
    </w:p>
    <w:p w:rsidR="00DE1684" w:rsidRDefault="00DE1684" w:rsidP="00DE1684">
      <w:pPr>
        <w:pStyle w:val="NormalWeb"/>
        <w:spacing w:after="0" w:line="360" w:lineRule="auto"/>
        <w:rPr>
          <w:lang w:val="en-GB"/>
        </w:rPr>
      </w:pPr>
    </w:p>
    <w:p w:rsidR="00DE1684" w:rsidRDefault="00DE1684" w:rsidP="000262BE">
      <w:pPr>
        <w:pStyle w:val="NormalWeb"/>
        <w:spacing w:after="0" w:line="360" w:lineRule="auto"/>
        <w:outlineLvl w:val="0"/>
        <w:rPr>
          <w:lang w:val="en-GB"/>
        </w:rPr>
      </w:pPr>
      <w:r>
        <w:rPr>
          <w:i/>
          <w:iCs/>
          <w:lang w:val="en-GB"/>
        </w:rPr>
        <w:t>Imaging data</w:t>
      </w:r>
    </w:p>
    <w:p w:rsidR="00DE1684" w:rsidRDefault="00DE1684" w:rsidP="00DE1684">
      <w:pPr>
        <w:pStyle w:val="NormalWeb"/>
        <w:spacing w:after="0" w:line="360" w:lineRule="auto"/>
        <w:rPr>
          <w:lang w:val="en-GB"/>
        </w:rPr>
      </w:pPr>
    </w:p>
    <w:p w:rsidR="00DE1684" w:rsidRDefault="00DE1684" w:rsidP="000262BE">
      <w:pPr>
        <w:pStyle w:val="NormalWeb"/>
        <w:spacing w:after="0" w:line="360" w:lineRule="auto"/>
        <w:outlineLvl w:val="0"/>
        <w:rPr>
          <w:lang w:val="en-GB"/>
        </w:rPr>
      </w:pPr>
      <w:r>
        <w:rPr>
          <w:i/>
          <w:iCs/>
          <w:lang w:val="en-GB"/>
        </w:rPr>
        <w:t>Deconvolution analysis</w:t>
      </w:r>
    </w:p>
    <w:p w:rsidR="00DE1684" w:rsidRDefault="00DE1684" w:rsidP="00EC205D">
      <w:pPr>
        <w:pStyle w:val="NormalWeb"/>
        <w:spacing w:after="0" w:line="360" w:lineRule="auto"/>
        <w:ind w:firstLine="708"/>
        <w:jc w:val="both"/>
        <w:rPr>
          <w:lang w:val="en-GB"/>
        </w:rPr>
      </w:pPr>
      <w:r>
        <w:rPr>
          <w:lang w:val="en-GB"/>
        </w:rPr>
        <w:t>The profile of the pre-stimulus (attention-related) response, as estimated by deconvoluti</w:t>
      </w:r>
      <w:r w:rsidR="00084966">
        <w:rPr>
          <w:lang w:val="en-GB"/>
        </w:rPr>
        <w:t>on analysis, is shown in Fig. 32</w:t>
      </w:r>
      <w:r>
        <w:rPr>
          <w:lang w:val="en-GB"/>
        </w:rPr>
        <w:t>. The profile was similar in all three visual areas and so the mean is shown. This analysis confirms the surprising finding of Sylvester et al. (2007) that attention-related activity in visual cortex is transient, peaking at about 5s from cue onset and then declining in accord with a typical HIRF, and is not sustained throughout the pre-attention period. One interpretation is that attention was not in fact sustained, but both our behavioural data and the analyses of Sylvester et al. (2007) suggest that there is a genuine discrepancy between attention as measured behaviourally and the modulation it causes in visual cortex. More sustained attention-related activity was reported by Silver et al. (2007) and the reason for the discrepancy is unclear, but our results clearly show transient activity.</w:t>
      </w:r>
    </w:p>
    <w:p w:rsidR="00DE1684" w:rsidRDefault="00DE1684" w:rsidP="00DE1684">
      <w:pPr>
        <w:pStyle w:val="NormalWeb"/>
        <w:spacing w:after="0" w:line="360" w:lineRule="auto"/>
        <w:jc w:val="center"/>
        <w:rPr>
          <w:lang w:val="en-GB"/>
        </w:rPr>
      </w:pPr>
      <w:r>
        <w:rPr>
          <w:noProof/>
          <w:lang w:val="en-GB" w:eastAsia="en-GB"/>
        </w:rPr>
        <w:drawing>
          <wp:inline distT="0" distB="0" distL="0" distR="0">
            <wp:extent cx="3240000" cy="2353743"/>
            <wp:effectExtent l="1905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3240000" cy="2353743"/>
                    </a:xfrm>
                    <a:prstGeom prst="rect">
                      <a:avLst/>
                    </a:prstGeom>
                    <a:noFill/>
                    <a:ln w="9525">
                      <a:noFill/>
                      <a:miter lim="800000"/>
                      <a:headEnd/>
                      <a:tailEnd/>
                    </a:ln>
                  </pic:spPr>
                </pic:pic>
              </a:graphicData>
            </a:graphic>
          </wp:inline>
        </w:drawing>
      </w:r>
    </w:p>
    <w:p w:rsidR="00DE1684" w:rsidRDefault="00084966" w:rsidP="00DE1684">
      <w:pPr>
        <w:pStyle w:val="NormalWeb"/>
        <w:spacing w:after="0" w:line="360" w:lineRule="auto"/>
        <w:jc w:val="both"/>
        <w:rPr>
          <w:lang w:val="en-GB"/>
        </w:rPr>
      </w:pPr>
      <w:r>
        <w:rPr>
          <w:sz w:val="18"/>
          <w:szCs w:val="18"/>
          <w:lang w:val="en-GB"/>
        </w:rPr>
        <w:t>Fig. 32</w:t>
      </w:r>
      <w:r w:rsidR="00DE1684">
        <w:rPr>
          <w:sz w:val="18"/>
          <w:szCs w:val="18"/>
          <w:lang w:val="en-GB"/>
        </w:rPr>
        <w:t xml:space="preserve"> </w:t>
      </w:r>
      <w:r w:rsidR="00DE1684">
        <w:rPr>
          <w:sz w:val="18"/>
          <w:szCs w:val="18"/>
          <w:lang w:val="en-US"/>
        </w:rPr>
        <w:t xml:space="preserve">Estimate of the timecourse of prestimulus activity derived from deconvolution analysis. Time zero represents the onset of the cue. The plot is the average across all participants and is also averaged across visual areas V1-V3. </w:t>
      </w:r>
    </w:p>
    <w:p w:rsidR="00DE1684" w:rsidRDefault="00DE1684" w:rsidP="00DE1684">
      <w:pPr>
        <w:pStyle w:val="NormalWeb"/>
        <w:spacing w:after="0" w:line="360" w:lineRule="auto"/>
        <w:rPr>
          <w:lang w:val="en-GB"/>
        </w:rPr>
      </w:pPr>
    </w:p>
    <w:p w:rsidR="00DE1684" w:rsidRDefault="00DE1684" w:rsidP="000262BE">
      <w:pPr>
        <w:pStyle w:val="NormalWeb"/>
        <w:spacing w:after="0" w:line="360" w:lineRule="auto"/>
        <w:outlineLvl w:val="0"/>
        <w:rPr>
          <w:lang w:val="en-GB"/>
        </w:rPr>
      </w:pPr>
      <w:r>
        <w:rPr>
          <w:i/>
          <w:iCs/>
          <w:lang w:val="en-GB"/>
        </w:rPr>
        <w:t>Response magnitude</w:t>
      </w:r>
    </w:p>
    <w:p w:rsidR="00DE1684" w:rsidRDefault="00DE1684" w:rsidP="00EC205D">
      <w:pPr>
        <w:pStyle w:val="NormalWeb"/>
        <w:spacing w:after="0" w:line="360" w:lineRule="auto"/>
        <w:ind w:firstLine="708"/>
        <w:jc w:val="both"/>
        <w:rPr>
          <w:lang w:val="en-GB"/>
        </w:rPr>
      </w:pPr>
      <w:r>
        <w:rPr>
          <w:lang w:val="en-GB"/>
        </w:rPr>
        <w:t xml:space="preserve">Mean BOLD responses were calculated, separately for pre-stimulus (attention-related) activity and for the response to the visual stimulus. In each case, results were averaged across the left and right ROIs, separately for each of three visual areas (V1, V2 and V3). Although several other visual areas were reliably identified with retinotopic mapping, it was not always possible to identify within them a discrete response to the peripheral stimuli used in the main experiment and so analysis was confined to these three regions, in which responses were evident in every case. As with the behavioural data, the trials were divided into early (trials from the first four runs) and late (those from the last four runs). The overall results for the three visual areas, averaged across left and right hemispheres and also across the four difficulty levels, are shown in Figure 34. </w:t>
      </w:r>
    </w:p>
    <w:p w:rsidR="00DE1684" w:rsidRDefault="00DE1684" w:rsidP="00561484">
      <w:pPr>
        <w:pStyle w:val="NormalWeb"/>
        <w:spacing w:after="0" w:line="360" w:lineRule="auto"/>
        <w:jc w:val="center"/>
        <w:rPr>
          <w:lang w:val="en-GB"/>
        </w:rPr>
      </w:pPr>
      <w:r>
        <w:rPr>
          <w:noProof/>
          <w:lang w:val="en-GB" w:eastAsia="en-GB"/>
        </w:rPr>
        <w:drawing>
          <wp:inline distT="0" distB="0" distL="0" distR="0">
            <wp:extent cx="5400000" cy="3044346"/>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5400000" cy="3044346"/>
                    </a:xfrm>
                    <a:prstGeom prst="rect">
                      <a:avLst/>
                    </a:prstGeom>
                    <a:noFill/>
                    <a:ln w="9525">
                      <a:noFill/>
                      <a:miter lim="800000"/>
                      <a:headEnd/>
                      <a:tailEnd/>
                    </a:ln>
                  </pic:spPr>
                </pic:pic>
              </a:graphicData>
            </a:graphic>
          </wp:inline>
        </w:drawing>
      </w:r>
    </w:p>
    <w:p w:rsidR="006840C3" w:rsidRDefault="00084966" w:rsidP="006840C3">
      <w:pPr>
        <w:pStyle w:val="NormalWeb"/>
        <w:spacing w:after="0" w:line="360" w:lineRule="auto"/>
        <w:jc w:val="both"/>
        <w:rPr>
          <w:lang w:val="en-GB"/>
        </w:rPr>
      </w:pPr>
      <w:r>
        <w:rPr>
          <w:sz w:val="18"/>
          <w:szCs w:val="18"/>
          <w:lang w:val="en-GB"/>
        </w:rPr>
        <w:t xml:space="preserve">Fig. 33 </w:t>
      </w:r>
      <w:r w:rsidR="006840C3">
        <w:rPr>
          <w:sz w:val="18"/>
          <w:szCs w:val="18"/>
          <w:lang w:val="en-GB"/>
        </w:rPr>
        <w:t>Mean BOLD responses for visual areas V1, V2 and V3 collapsed across the four difficulty levels and averaged across participants and hemispheres. Results for the pre-stimulus and post-stimulus time periods are shown separately. Error bars show ±1 SEM (n=8).</w:t>
      </w:r>
    </w:p>
    <w:p w:rsidR="006840C3" w:rsidRDefault="006840C3" w:rsidP="00EC205D">
      <w:pPr>
        <w:pStyle w:val="NormalWeb"/>
        <w:spacing w:after="0" w:line="360" w:lineRule="auto"/>
        <w:ind w:firstLine="708"/>
        <w:jc w:val="both"/>
        <w:rPr>
          <w:lang w:val="en-GB"/>
        </w:rPr>
      </w:pPr>
      <w:r>
        <w:rPr>
          <w:lang w:val="en-GB"/>
        </w:rPr>
        <w:t>The results are similar in the three visual areas examined. They show a consistent reduction of the measured BOLD response in late trials (light bars) relative to early trials (dark bars). Importantly, the reduction is evident not only for responses to the grating stimuli (right panel), as found in several previous studies, but also for pre-stimulus (anticipatory) responses. The latter effect cannot reflect altered stimulus processing since no stimulus is present in this period. Instead, we attribute it to altered influences of attention. It is unlikely to reflect a general decline in attention due to fatigue because this would be accompanied by a decline in performance, whereas in fact performance cle</w:t>
      </w:r>
      <w:r w:rsidR="00084966">
        <w:rPr>
          <w:lang w:val="en-GB"/>
        </w:rPr>
        <w:t>arly improved over time (Fig. 30</w:t>
      </w:r>
      <w:r>
        <w:rPr>
          <w:lang w:val="en-GB"/>
        </w:rPr>
        <w:t>). It is therefore more likely to reflect learning-related changes in attention. The possible nature of the change is considered in the Discussion.</w:t>
      </w:r>
    </w:p>
    <w:p w:rsidR="006840C3" w:rsidRDefault="006840C3" w:rsidP="00EC205D">
      <w:pPr>
        <w:pStyle w:val="NormalWeb"/>
        <w:spacing w:after="0" w:line="360" w:lineRule="auto"/>
        <w:ind w:firstLine="708"/>
        <w:jc w:val="both"/>
        <w:rPr>
          <w:lang w:val="en-GB"/>
        </w:rPr>
      </w:pPr>
      <w:r>
        <w:rPr>
          <w:lang w:val="en-GB"/>
        </w:rPr>
        <w:t>To permit examination of any differences between task difficulty levels, the four levels were modelled wit</w:t>
      </w:r>
      <w:r w:rsidR="00084966">
        <w:rPr>
          <w:lang w:val="en-GB"/>
        </w:rPr>
        <w:t>h separate regressors and Fig 33</w:t>
      </w:r>
      <w:r>
        <w:rPr>
          <w:lang w:val="en-GB"/>
        </w:rPr>
        <w:t xml:space="preserve"> simply shows the average result. The same da</w:t>
      </w:r>
      <w:r w:rsidR="00084966">
        <w:rPr>
          <w:lang w:val="en-GB"/>
        </w:rPr>
        <w:t>ta are shown separated in Fig 34</w:t>
      </w:r>
      <w:r>
        <w:rPr>
          <w:lang w:val="en-GB"/>
        </w:rPr>
        <w:t>. The response reduction in late runs compared to early runs is apparent in most cases. In the case of pre-stimulus activity, it is greatest for the easiest trials (difficulty level 1) and progressively lessens, being absent for level 4, the hardest. For stimulus-evoked activity, the reduction is similar for all difficulty levels. The pattern of results is similar for the three visual areas in all respects.</w:t>
      </w:r>
    </w:p>
    <w:p w:rsidR="006840C3" w:rsidRDefault="006840C3" w:rsidP="00561484">
      <w:pPr>
        <w:pStyle w:val="NormalWeb"/>
        <w:spacing w:after="0" w:line="360" w:lineRule="auto"/>
        <w:jc w:val="center"/>
        <w:rPr>
          <w:lang w:val="en-GB"/>
        </w:rPr>
      </w:pPr>
      <w:r>
        <w:rPr>
          <w:noProof/>
          <w:lang w:val="en-GB" w:eastAsia="en-GB"/>
        </w:rPr>
        <w:drawing>
          <wp:inline distT="0" distB="0" distL="0" distR="0">
            <wp:extent cx="5400000" cy="3149541"/>
            <wp:effectExtent l="1905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5400000" cy="3149541"/>
                    </a:xfrm>
                    <a:prstGeom prst="rect">
                      <a:avLst/>
                    </a:prstGeom>
                    <a:noFill/>
                    <a:ln w="9525">
                      <a:noFill/>
                      <a:miter lim="800000"/>
                      <a:headEnd/>
                      <a:tailEnd/>
                    </a:ln>
                  </pic:spPr>
                </pic:pic>
              </a:graphicData>
            </a:graphic>
          </wp:inline>
        </w:drawing>
      </w:r>
    </w:p>
    <w:p w:rsidR="006840C3" w:rsidRDefault="00084966" w:rsidP="006840C3">
      <w:pPr>
        <w:pStyle w:val="NormalWeb"/>
        <w:spacing w:after="0" w:line="360" w:lineRule="auto"/>
        <w:jc w:val="both"/>
        <w:rPr>
          <w:lang w:val="en-GB"/>
        </w:rPr>
      </w:pPr>
      <w:r>
        <w:rPr>
          <w:sz w:val="18"/>
          <w:szCs w:val="18"/>
          <w:lang w:val="en-GB"/>
        </w:rPr>
        <w:t>Fig 34</w:t>
      </w:r>
      <w:r w:rsidR="006840C3">
        <w:rPr>
          <w:sz w:val="18"/>
          <w:szCs w:val="18"/>
          <w:lang w:val="en-GB"/>
        </w:rPr>
        <w:t xml:space="preserve"> Mean BOLD responses for visual areas V1, V2 and V3 for each of the four difficulty levels (1 is easiest, 4 is hardest), averaged across participants and hemispheres. Each difficulty level is divided into the first half of the trials and the second half, as in Fig. 5. Results for the pre-stimulus and post-stimulus time periods are shown separately. Error bars show ±1 SEM (n=8).</w:t>
      </w:r>
    </w:p>
    <w:p w:rsidR="006840C3" w:rsidRDefault="006840C3" w:rsidP="00EC205D">
      <w:pPr>
        <w:pStyle w:val="NormalWeb"/>
        <w:spacing w:after="0" w:line="360" w:lineRule="auto"/>
        <w:ind w:firstLine="708"/>
        <w:jc w:val="both"/>
        <w:rPr>
          <w:lang w:val="en-GB"/>
        </w:rPr>
      </w:pPr>
      <w:r>
        <w:rPr>
          <w:lang w:val="en-GB"/>
        </w:rPr>
        <w:t>For each event type (pre-stimulus and stimulus), a separate three-way ANOVA was conducted with factors visual area (V1-V3), learning (early or late) and task difficulty (4 levels). There was no main effect of visual area in either analysis. Task difficulty was significant for pre-stimulus activity (F (3,384) = 4.6, p&lt;0.01) but not for stimulus-related activity. The main effect of learning was significant both for pre-stimulus activity (F (1,384) = 29.3, p&lt;0.0001) and for stimulus-related activity (F (1,384) = 6.9, p&lt;0.01). The interaction (learning x difficulty) was significant for the pre-stimulus activity (F (3,384) = 6.8, p&lt;0.0001) but not for the stimulus-evoked response.</w:t>
      </w:r>
    </w:p>
    <w:p w:rsidR="006840C3" w:rsidRDefault="006840C3" w:rsidP="00EC205D">
      <w:pPr>
        <w:pStyle w:val="NormalWeb"/>
        <w:spacing w:after="0" w:line="360" w:lineRule="auto"/>
        <w:ind w:firstLine="708"/>
        <w:jc w:val="both"/>
        <w:rPr>
          <w:lang w:val="en-GB"/>
        </w:rPr>
      </w:pPr>
      <w:r>
        <w:rPr>
          <w:lang w:val="en-GB"/>
        </w:rPr>
        <w:t>In the analyses presented above, the effects of learning were summarized by simply dividing the runs into two groups, early and late. In each run, a single regressor was used to model all events of a particular type in that run. To examine trial-by-trial changes, an additional analysis was performed in which each event was modelled with a separate regressor. This leads to very noisy estimates of the BOLD response but it permits the trend to be tracked and compared to the learning curve. The analysis is presented for the effect of learning on pre-stimulus activity, since this</w:t>
      </w:r>
      <w:r w:rsidR="00084966">
        <w:rPr>
          <w:lang w:val="en-GB"/>
        </w:rPr>
        <w:t xml:space="preserve"> is the novel finding. Figure 34</w:t>
      </w:r>
      <w:r>
        <w:rPr>
          <w:lang w:val="en-GB"/>
        </w:rPr>
        <w:t>(a) shows the BOLD response during the pre-stimulus period for every trial conducted at a medium difficulty level (level 2), as a scatter plot. It can be seen that the cha</w:t>
      </w:r>
      <w:r w:rsidR="00084966">
        <w:rPr>
          <w:lang w:val="en-GB"/>
        </w:rPr>
        <w:t>nge over time evident in Figs 33 and 34</w:t>
      </w:r>
      <w:r>
        <w:rPr>
          <w:lang w:val="en-GB"/>
        </w:rPr>
        <w:t xml:space="preserve"> is gradual. Presumably the true function is a decay function that asymptotes, but over this limited time span it can be approximated as a linear function with negative slope. The slope is plotted for the fou</w:t>
      </w:r>
      <w:r w:rsidR="00084966">
        <w:rPr>
          <w:lang w:val="en-GB"/>
        </w:rPr>
        <w:t>r difficulty levels in Figure 35</w:t>
      </w:r>
      <w:r>
        <w:rPr>
          <w:lang w:val="en-GB"/>
        </w:rPr>
        <w:t>(b). The slope is most negative (i.e. BOLD response declines fastest) for the easiest trials and is near-zero for the hardest trials. Thus, the change in BOLD response mirro</w:t>
      </w:r>
      <w:r w:rsidR="00084966">
        <w:rPr>
          <w:lang w:val="en-GB"/>
        </w:rPr>
        <w:t>rs the performance data (Fig. 30</w:t>
      </w:r>
      <w:r>
        <w:rPr>
          <w:lang w:val="en-GB"/>
        </w:rPr>
        <w:t>c), which show that performance improves most rapidly in easy trials. From this it can be deduced that pre-stimulus activit</w:t>
      </w:r>
      <w:r w:rsidR="00084966">
        <w:rPr>
          <w:lang w:val="en-GB"/>
        </w:rPr>
        <w:t>y (Fig. 33</w:t>
      </w:r>
      <w:r>
        <w:rPr>
          <w:lang w:val="en-GB"/>
        </w:rPr>
        <w:t>, top) is reduced in proportion to the learning that has occurred. In contrast, stimulus-related activity seems to reduce as a function of exposure to the stimuli, irrespecti</w:t>
      </w:r>
      <w:r w:rsidR="00084966">
        <w:rPr>
          <w:lang w:val="en-GB"/>
        </w:rPr>
        <w:t>ve of performance change (Fig 33</w:t>
      </w:r>
      <w:r>
        <w:rPr>
          <w:lang w:val="en-GB"/>
        </w:rPr>
        <w:t>, bottom).</w:t>
      </w:r>
    </w:p>
    <w:p w:rsidR="006840C3" w:rsidRDefault="006840C3" w:rsidP="006840C3">
      <w:pPr>
        <w:pStyle w:val="NormalWeb"/>
        <w:spacing w:after="0" w:line="360" w:lineRule="auto"/>
        <w:jc w:val="center"/>
        <w:rPr>
          <w:lang w:val="en-GB"/>
        </w:rPr>
      </w:pPr>
      <w:r>
        <w:rPr>
          <w:noProof/>
          <w:lang w:val="en-GB" w:eastAsia="en-GB"/>
        </w:rPr>
        <w:drawing>
          <wp:inline distT="0" distB="0" distL="0" distR="0">
            <wp:extent cx="1782968" cy="3069503"/>
            <wp:effectExtent l="19050" t="0" r="7732"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1782968" cy="3069503"/>
                    </a:xfrm>
                    <a:prstGeom prst="rect">
                      <a:avLst/>
                    </a:prstGeom>
                    <a:noFill/>
                    <a:ln w="9525">
                      <a:noFill/>
                      <a:miter lim="800000"/>
                      <a:headEnd/>
                      <a:tailEnd/>
                    </a:ln>
                  </pic:spPr>
                </pic:pic>
              </a:graphicData>
            </a:graphic>
          </wp:inline>
        </w:drawing>
      </w:r>
    </w:p>
    <w:p w:rsidR="006840C3" w:rsidRDefault="00084966" w:rsidP="006840C3">
      <w:pPr>
        <w:pStyle w:val="NormalWeb"/>
        <w:spacing w:after="0" w:line="360" w:lineRule="auto"/>
        <w:jc w:val="both"/>
        <w:rPr>
          <w:lang w:val="en-GB"/>
        </w:rPr>
      </w:pPr>
      <w:r>
        <w:rPr>
          <w:sz w:val="18"/>
          <w:szCs w:val="18"/>
          <w:lang w:val="en-GB"/>
        </w:rPr>
        <w:t>Fig. 35</w:t>
      </w:r>
      <w:r w:rsidR="006840C3">
        <w:rPr>
          <w:sz w:val="18"/>
          <w:szCs w:val="18"/>
          <w:lang w:val="en-GB"/>
        </w:rPr>
        <w:t xml:space="preserve"> </w:t>
      </w:r>
      <w:r w:rsidR="006840C3">
        <w:rPr>
          <w:b/>
          <w:bCs/>
          <w:sz w:val="18"/>
          <w:szCs w:val="18"/>
          <w:lang w:val="en-GB"/>
        </w:rPr>
        <w:t>(a)</w:t>
      </w:r>
      <w:r w:rsidR="006840C3">
        <w:rPr>
          <w:sz w:val="18"/>
          <w:szCs w:val="18"/>
          <w:lang w:val="en-GB"/>
        </w:rPr>
        <w:t xml:space="preserve"> Sample scatter plot showing trial-by-trial amplitudes (beta values) during the pre-stimulus interval as a function of time, for one difficulty level. The data for all participants are included and each point represents the estimated BOLD response for one trial in one participant, averaged across all the voxels in the V1 ROI. The 8 runs are concatenated. The best-fit straight line is also shown. </w:t>
      </w:r>
      <w:r w:rsidR="006840C3">
        <w:rPr>
          <w:b/>
          <w:bCs/>
          <w:sz w:val="18"/>
          <w:szCs w:val="18"/>
          <w:lang w:val="en-GB"/>
        </w:rPr>
        <w:t>(b)</w:t>
      </w:r>
      <w:r w:rsidR="006840C3">
        <w:rPr>
          <w:sz w:val="18"/>
          <w:szCs w:val="18"/>
          <w:lang w:val="en-GB"/>
        </w:rPr>
        <w:t xml:space="preserve"> The slope of the best-fit linear function for each difficulty level, averaged across participants, derived from plots like that in (a).</w:t>
      </w:r>
    </w:p>
    <w:p w:rsidR="006840C3" w:rsidRDefault="006840C3" w:rsidP="00EC205D">
      <w:pPr>
        <w:pStyle w:val="NormalWeb"/>
        <w:spacing w:after="0" w:line="360" w:lineRule="auto"/>
        <w:ind w:firstLine="708"/>
        <w:jc w:val="both"/>
        <w:rPr>
          <w:lang w:val="en-GB"/>
        </w:rPr>
      </w:pPr>
      <w:r>
        <w:rPr>
          <w:lang w:val="en-GB"/>
        </w:rPr>
        <w:t>We performed a final analysis to test the relationship between attentional load in pre-stimulus activity and performance on the task. To do this, we measured the pre-stimulus BOLD response in V1 separately for trials in which the subject gave a correct response and trials in which an incorre</w:t>
      </w:r>
      <w:r w:rsidR="00084966">
        <w:rPr>
          <w:lang w:val="en-GB"/>
        </w:rPr>
        <w:t>ct response was given. Figure 36</w:t>
      </w:r>
      <w:r>
        <w:rPr>
          <w:lang w:val="en-GB"/>
        </w:rPr>
        <w:t xml:space="preserve"> shows the result, averaged across participants for all trials and also separately for each difficulty level. Correct responses yielded a significantly greater BOLD response overall (F</w:t>
      </w:r>
      <w:r w:rsidR="009B4A4C">
        <w:rPr>
          <w:lang w:val="en-GB"/>
        </w:rPr>
        <w:t>(6.52)</w:t>
      </w:r>
      <w:r>
        <w:rPr>
          <w:lang w:val="en-GB"/>
        </w:rPr>
        <w:t>=15.110, p&lt;0.001) and for each difficulty level considered alone except the easiest one. From this it can be deduced that attentional deployment predicts the performance on the task. We performed similar analyses based on the first half of the trials alone and on the second half alone. The results (not shown) show a non-significant trend towards larger BOLD responses on correct trials in both halves. Moreover pre-stimulus activity for correct trials shows a trend of decrease between the fist and second halves. From this it can be deduced that attentional deployment reduces with time but is still necessary in order to perform the task even at the end.</w:t>
      </w:r>
    </w:p>
    <w:p w:rsidR="006840C3" w:rsidRDefault="006840C3" w:rsidP="00561484">
      <w:pPr>
        <w:pStyle w:val="NormalWeb"/>
        <w:spacing w:after="0" w:line="360" w:lineRule="auto"/>
        <w:jc w:val="center"/>
        <w:rPr>
          <w:lang w:val="en-GB"/>
        </w:rPr>
      </w:pPr>
      <w:r>
        <w:rPr>
          <w:noProof/>
          <w:lang w:val="en-GB" w:eastAsia="en-GB"/>
        </w:rPr>
        <w:drawing>
          <wp:inline distT="0" distB="0" distL="0" distR="0">
            <wp:extent cx="5400000" cy="2215823"/>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5400000" cy="2215823"/>
                    </a:xfrm>
                    <a:prstGeom prst="rect">
                      <a:avLst/>
                    </a:prstGeom>
                    <a:noFill/>
                    <a:ln w="9525">
                      <a:noFill/>
                      <a:miter lim="800000"/>
                      <a:headEnd/>
                      <a:tailEnd/>
                    </a:ln>
                  </pic:spPr>
                </pic:pic>
              </a:graphicData>
            </a:graphic>
          </wp:inline>
        </w:drawing>
      </w:r>
    </w:p>
    <w:p w:rsidR="006840C3" w:rsidRDefault="00084966" w:rsidP="006840C3">
      <w:pPr>
        <w:pStyle w:val="NormalWeb"/>
        <w:spacing w:after="0" w:line="360" w:lineRule="auto"/>
        <w:jc w:val="both"/>
        <w:rPr>
          <w:rFonts w:ascii="TimesNewRomanPSMT" w:hAnsi="TimesNewRomanPSMT"/>
          <w:color w:val="000000"/>
          <w:sz w:val="18"/>
          <w:szCs w:val="18"/>
          <w:lang w:val="en-GB"/>
        </w:rPr>
      </w:pPr>
      <w:r>
        <w:rPr>
          <w:sz w:val="18"/>
          <w:szCs w:val="18"/>
          <w:lang w:val="en-GB"/>
        </w:rPr>
        <w:t>Fig. 36</w:t>
      </w:r>
      <w:r w:rsidR="006840C3">
        <w:rPr>
          <w:sz w:val="18"/>
          <w:szCs w:val="18"/>
          <w:lang w:val="en-GB"/>
        </w:rPr>
        <w:t xml:space="preserve"> </w:t>
      </w:r>
      <w:r w:rsidR="006840C3">
        <w:rPr>
          <w:rFonts w:ascii="TimesNewRomanPSMT" w:hAnsi="TimesNewRomanPSMT"/>
          <w:color w:val="000000"/>
          <w:sz w:val="18"/>
          <w:szCs w:val="18"/>
          <w:lang w:val="en-GB"/>
        </w:rPr>
        <w:t>Mean BOLD responses in V1 shown separately for trials in which the subject gave a correct response (hit) and trials in which an incorrect response was given (miss), averaged across participants. The results are shown for each difficulty level and also for the mean of all trials.</w:t>
      </w:r>
    </w:p>
    <w:p w:rsidR="006840C3" w:rsidRDefault="006840C3" w:rsidP="006840C3">
      <w:pPr>
        <w:pStyle w:val="NormalWeb"/>
        <w:spacing w:after="0" w:line="360" w:lineRule="auto"/>
        <w:rPr>
          <w:lang w:val="en-GB"/>
        </w:rPr>
      </w:pPr>
    </w:p>
    <w:p w:rsidR="006840C3" w:rsidRDefault="006840C3" w:rsidP="000262BE">
      <w:pPr>
        <w:pStyle w:val="NormalWeb"/>
        <w:spacing w:after="0" w:line="360" w:lineRule="auto"/>
        <w:outlineLvl w:val="0"/>
        <w:rPr>
          <w:lang w:val="en-GB"/>
        </w:rPr>
      </w:pPr>
      <w:r>
        <w:rPr>
          <w:lang w:val="en-GB"/>
        </w:rPr>
        <w:t>3.7.5 Discussion</w:t>
      </w:r>
    </w:p>
    <w:p w:rsidR="006840C3" w:rsidRDefault="006840C3" w:rsidP="006840C3">
      <w:pPr>
        <w:pStyle w:val="NormalWeb"/>
        <w:spacing w:after="0" w:line="360" w:lineRule="auto"/>
        <w:rPr>
          <w:lang w:val="en-GB"/>
        </w:rPr>
      </w:pPr>
    </w:p>
    <w:p w:rsidR="006840C3" w:rsidRDefault="006840C3" w:rsidP="000262BE">
      <w:pPr>
        <w:pStyle w:val="NormalWeb"/>
        <w:spacing w:after="0" w:line="360" w:lineRule="auto"/>
        <w:outlineLvl w:val="0"/>
        <w:rPr>
          <w:lang w:val="en-GB"/>
        </w:rPr>
      </w:pPr>
      <w:r>
        <w:rPr>
          <w:i/>
          <w:iCs/>
          <w:lang w:val="en-GB"/>
        </w:rPr>
        <w:t>Perceptual learning and attention</w:t>
      </w:r>
    </w:p>
    <w:p w:rsidR="006840C3" w:rsidRDefault="006840C3" w:rsidP="00EC205D">
      <w:pPr>
        <w:pStyle w:val="NormalWeb"/>
        <w:spacing w:after="0" w:line="360" w:lineRule="auto"/>
        <w:ind w:firstLine="708"/>
        <w:jc w:val="both"/>
        <w:rPr>
          <w:lang w:val="en-GB"/>
        </w:rPr>
      </w:pPr>
      <w:r>
        <w:rPr>
          <w:lang w:val="en-GB"/>
        </w:rPr>
        <w:t>Many studies have demonstrated changes in the magnitude of stimulus-evoked activity in visual cortex as learning progresses but the origin and cause of these changes remains unclear. Most fundamentally, it is not clear whether learning-related changes in the visual cortex result from plasticity in response to bottom-up sensory input, or instead reflect feedback influences from later processing stages. This study examined the role of attention in the change that occurs in visual cortex during perceptual learning. When the magnitude of activity evoked by a stimulus during learning is measured, as in several previous studies, it is difficult to know whether the observed change reflects a change in local processing or a change in an extrinsic modulatory signal, such as that related to attention. To separate these two possibilities, we measured pre-stimulus BOLD activity, occurring after a trial was cued but before the stimulus appeared, as an index of attentional modulation. During the pre-stimulus interval, no processing of the stimulus occurs and activity is strictly preparatory; the key preparation required is to attend to the expected location and parameters of the upcoming stimulus. The task learned during the experiment was an orientation discrimination task, in which learning is thought likely to reflect localized changes in visual cortex (e.g. Ramachandran and Braddick, 1973; Fiorentini and Berardi, 1981; Vogels and Orban, 1985; Shiu and Pashler, 1992; Schoups et al., 1995; Ahissar and Hochstein, 1997). Learning was confined to a single one-hour session, whereas many behavioural studies have examined learning over multiple sessions on different days, but it has been shown that some perceptual learning occurs even with a small amount of practice (e.g. Hussein et al, 2009) and some other MRI studies have used similarly short learning periods (e.g. Mukai et al., 2007).</w:t>
      </w:r>
    </w:p>
    <w:p w:rsidR="006840C3" w:rsidRDefault="006840C3" w:rsidP="00EC205D">
      <w:pPr>
        <w:pStyle w:val="NormalWeb"/>
        <w:spacing w:after="0" w:line="360" w:lineRule="auto"/>
        <w:ind w:firstLine="708"/>
        <w:jc w:val="both"/>
        <w:rPr>
          <w:lang w:val="en-GB"/>
        </w:rPr>
      </w:pPr>
      <w:r>
        <w:rPr>
          <w:lang w:val="en-GB"/>
        </w:rPr>
        <w:t>We show that attention-related pre-stimulus activity in early visual areas decreases during perceptual learning. This change was accompanied by a reduction of stimulus-evoked activity similar to that previously demonstrated during learning of similar tasks. Our results are consistent with the suggestion that attention is closely involved in perceptual learning (Ahissar and Hochstein, 1993). If it is accepted that pre-stimulus activity reflects attentional modulation then it is clear from our results that attentional modulation changes as learning progresses. The change could, in principle, reflect either a change in attention itself or a change in the relationship between attention and the modulation it causes in visual cortex.</w:t>
      </w:r>
    </w:p>
    <w:p w:rsidR="006840C3" w:rsidRDefault="006840C3" w:rsidP="00EC205D">
      <w:pPr>
        <w:pStyle w:val="NormalWeb"/>
        <w:spacing w:after="0" w:line="360" w:lineRule="auto"/>
        <w:ind w:firstLine="708"/>
        <w:jc w:val="both"/>
        <w:rPr>
          <w:lang w:val="en-GB"/>
        </w:rPr>
      </w:pPr>
      <w:r>
        <w:rPr>
          <w:lang w:val="en-GB"/>
        </w:rPr>
        <w:t>A trivial explanation of the results would be simply that participants tire during the course of the scan and that their attention wanes, leading to a reduction in attention-related activity in visual cortex. To examine this possibility, we analysed behavioural performance. If participants become fatigued, performance will deteriorate and learning will be reduced. Therefore it is important to establish that learning, as indexed by improved performance, was actually occurring over the full duration of the experiment and that there was no fatigue-related deterioration. The behavioural data obtained during scann</w:t>
      </w:r>
      <w:r w:rsidR="00084966">
        <w:rPr>
          <w:lang w:val="en-GB"/>
        </w:rPr>
        <w:t>ing show clear evidence (Fig. 30</w:t>
      </w:r>
      <w:r>
        <w:rPr>
          <w:lang w:val="en-GB"/>
        </w:rPr>
        <w:t xml:space="preserve">) of a gradual improvement in performance over the entire session. This strongly suggests that attention was sustained throughout the experiment. </w:t>
      </w:r>
    </w:p>
    <w:p w:rsidR="006840C3" w:rsidRPr="006840C3" w:rsidRDefault="006840C3" w:rsidP="00EC205D">
      <w:pPr>
        <w:pStyle w:val="NormalWeb"/>
        <w:spacing w:after="0" w:line="360" w:lineRule="auto"/>
        <w:ind w:firstLine="708"/>
        <w:jc w:val="both"/>
        <w:rPr>
          <w:lang w:val="en-US"/>
        </w:rPr>
      </w:pPr>
      <w:r>
        <w:rPr>
          <w:lang w:val="en-GB"/>
        </w:rPr>
        <w:t>Having discounted a fatigue explanation, it is reasonable to interpret the change in activity during the pre-stimulus period as a learning-related change. However a possible interpretation of the results might be that the learning that occurs relates to some other factor than the orientation task, such as learning the response mapping or learning an efficient strategy. A conventional test of genuine perceptual learning is that transfer to another stimulus (in this case orientation) is poor. We show clear</w:t>
      </w:r>
      <w:r w:rsidR="00084966">
        <w:rPr>
          <w:lang w:val="en-GB"/>
        </w:rPr>
        <w:t>ly that this is the case (Fig.31</w:t>
      </w:r>
      <w:r>
        <w:rPr>
          <w:lang w:val="en-GB"/>
        </w:rPr>
        <w:t>), rendering such alternative interpretations unlikely. The criteria for identifying low-level perceptual learning have recently become more uncertain, with evidence emerging that learning can sometimes transfer to another stimulus (Jeter et al, 2010; Zhang et al, 2010) or to another retinal location (Pavlovskaya and Hochstein, 2011). However, if performance enhancement does not in fact transfer, it is widely accepted that this indicates perceptual learning.</w:t>
      </w:r>
    </w:p>
    <w:p w:rsidR="006840C3" w:rsidRPr="006840C3" w:rsidRDefault="006840C3" w:rsidP="00EC205D">
      <w:pPr>
        <w:pStyle w:val="NormalWeb"/>
        <w:spacing w:after="0" w:line="360" w:lineRule="auto"/>
        <w:ind w:firstLine="708"/>
        <w:jc w:val="both"/>
        <w:rPr>
          <w:lang w:val="en-US"/>
        </w:rPr>
      </w:pPr>
      <w:r>
        <w:rPr>
          <w:lang w:val="en-GB"/>
        </w:rPr>
        <w:t>Pre-stimulus activity of the kind we have measured is generally regarded as being related to spatial attention (Luks and Simpson, 2004; Sapir et al, 2005; McMains and Kastner, 2007; Sylvester et al., 2007) or alternatively feature-based attention (Giesbrecht et al., 2003; Shibata et al., 2008). Modulation by feature-based attention occurs not at a particular retinotopic location but in the whole visual area, and the fact that in our study significant activation was found only in the specific location where the stimulus was appearing suggests that subjects were attending to a particular location of the visual field rather that a particular stimulus attribute. The spatial distribution of the response also discounts the interpretation that pre-stimulus activity reflects a generalized alerting e</w:t>
      </w:r>
      <w:r w:rsidR="00084966">
        <w:rPr>
          <w:lang w:val="en-GB"/>
        </w:rPr>
        <w:t>ffect. It can be seen in Fig. 29</w:t>
      </w:r>
      <w:r>
        <w:rPr>
          <w:lang w:val="en-GB"/>
        </w:rPr>
        <w:t xml:space="preserve"> tha</w:t>
      </w:r>
      <w:r w:rsidR="00084966">
        <w:rPr>
          <w:lang w:val="en-GB"/>
        </w:rPr>
        <w:t>t pre-stimulus activity (Fig. 29</w:t>
      </w:r>
      <w:r>
        <w:rPr>
          <w:lang w:val="en-GB"/>
        </w:rPr>
        <w:t xml:space="preserve">c) has a similar spatial distribution to the stimulus-evoked response (Fig. </w:t>
      </w:r>
      <w:r w:rsidR="00084966">
        <w:rPr>
          <w:lang w:val="en-GB"/>
        </w:rPr>
        <w:t>29</w:t>
      </w:r>
      <w:r>
        <w:rPr>
          <w:lang w:val="en-GB"/>
        </w:rPr>
        <w:t>b), showing that it is restricted to the locations where stimuli are expected. Like feature-based attention, a generalized arousal effect would be evident in all parts of visual cortex. Thus, we reach the conclusion that during perceptual learning, a change occurs in the modulation of visual cortex by spatial attention. The similarity in form between the observed grad</w:t>
      </w:r>
      <w:r w:rsidR="00084966">
        <w:rPr>
          <w:lang w:val="en-GB"/>
        </w:rPr>
        <w:t>ual BOLD activity change (Fig 35</w:t>
      </w:r>
      <w:r>
        <w:rPr>
          <w:lang w:val="en-GB"/>
        </w:rPr>
        <w:t>a) and the gradu</w:t>
      </w:r>
      <w:r w:rsidR="00084966">
        <w:rPr>
          <w:lang w:val="en-GB"/>
        </w:rPr>
        <w:t>al change in performance (Fig 30</w:t>
      </w:r>
      <w:r>
        <w:rPr>
          <w:lang w:val="en-GB"/>
        </w:rPr>
        <w:t>b) is consistent with such an interpretation.</w:t>
      </w:r>
    </w:p>
    <w:p w:rsidR="006840C3" w:rsidRDefault="006840C3" w:rsidP="00EC205D">
      <w:pPr>
        <w:pStyle w:val="NormalWeb"/>
        <w:spacing w:after="0" w:line="360" w:lineRule="auto"/>
        <w:ind w:firstLine="708"/>
        <w:jc w:val="both"/>
        <w:rPr>
          <w:lang w:val="en-GB"/>
        </w:rPr>
      </w:pPr>
      <w:r>
        <w:rPr>
          <w:lang w:val="en-GB"/>
        </w:rPr>
        <w:t>In our experiment, we intermixed four levels of task difficulty. For pre-stimulus activity, the change in attentional modulation occurred more quickly for ea</w:t>
      </w:r>
      <w:r w:rsidR="00084966">
        <w:rPr>
          <w:lang w:val="en-GB"/>
        </w:rPr>
        <w:t>sier than harder trials (Figs 34 and 35</w:t>
      </w:r>
      <w:r>
        <w:rPr>
          <w:lang w:val="en-GB"/>
        </w:rPr>
        <w:t xml:space="preserve">). This suggests that attentional modulation changes with learning in a way that is specific to difficulty. Rather than a single change occurring that is applied to the visual cortex whatever the difficulty of the trial, it is as if change is applied in inverse proportion to the difficulty of the trial and in proportion to the rate of learning. The result is reminiscent of the finding (Hochstein &amp; Ahissar, 1997) that the spatial generalization of perceptual learning varies with task difficulty. </w:t>
      </w:r>
    </w:p>
    <w:p w:rsidR="006840C3" w:rsidRDefault="006840C3" w:rsidP="006840C3">
      <w:pPr>
        <w:pStyle w:val="NormalWeb"/>
        <w:spacing w:after="0" w:line="360" w:lineRule="auto"/>
        <w:rPr>
          <w:lang w:val="en-GB"/>
        </w:rPr>
      </w:pPr>
    </w:p>
    <w:p w:rsidR="006840C3" w:rsidRDefault="006840C3" w:rsidP="000262BE">
      <w:pPr>
        <w:pStyle w:val="NormalWeb"/>
        <w:spacing w:after="0" w:line="360" w:lineRule="auto"/>
        <w:outlineLvl w:val="0"/>
        <w:rPr>
          <w:lang w:val="en-GB"/>
        </w:rPr>
      </w:pPr>
      <w:r>
        <w:rPr>
          <w:i/>
          <w:iCs/>
          <w:lang w:val="en-GB"/>
        </w:rPr>
        <w:t>Mechanisms of attentional change</w:t>
      </w:r>
    </w:p>
    <w:p w:rsidR="006840C3" w:rsidRDefault="006840C3" w:rsidP="00EC205D">
      <w:pPr>
        <w:pStyle w:val="NormalWeb"/>
        <w:spacing w:after="0" w:line="360" w:lineRule="auto"/>
        <w:ind w:firstLine="708"/>
        <w:jc w:val="both"/>
        <w:rPr>
          <w:lang w:val="en-GB"/>
        </w:rPr>
      </w:pPr>
      <w:r>
        <w:rPr>
          <w:lang w:val="en-GB"/>
        </w:rPr>
        <w:t>The most parsimonious explanation of our results is that as learning proceeds, the task becomes more automatic, the attentional demand reduces and attentional modulation of the visual cortex becomes less intense as a result. It is well established that learning often involves automation of tasks. The observation that facilitation of activity in sensory cortex lessens during learning makes intuitive sense in this context.</w:t>
      </w:r>
    </w:p>
    <w:p w:rsidR="006840C3" w:rsidRPr="006840C3" w:rsidRDefault="006840C3" w:rsidP="00EC205D">
      <w:pPr>
        <w:pStyle w:val="NormalWeb"/>
        <w:spacing w:after="0" w:line="360" w:lineRule="auto"/>
        <w:ind w:firstLine="708"/>
        <w:jc w:val="both"/>
        <w:rPr>
          <w:lang w:val="en-US"/>
        </w:rPr>
      </w:pPr>
      <w:r>
        <w:rPr>
          <w:lang w:val="en-GB"/>
        </w:rPr>
        <w:t>On this account, changes in pre-stimulus activity purely reflect changes in top-down modulatory signals and there is no need to invoke plastic, learning-induced changes in sensory cortex. This raises the question of whether the same may be true of the change in the response to the visual stimulus itself. Several studies (Schiltz et al, 1999; Mukai et al, 2007) have reported that as perceptual learning progresses, the magnitude of the sensory response to the stimulus declines, and we replicate this finding. Could it be that the change is entirely related to reduced top-down facilitation, reflecting task automation? The fact that the changes are spatially localized is not a barrier to such an interpretation, since modulation by spatial attention is also localized. Previous fMRI experiments (e.g. Kastner et al, 1999) have shown that attention-related pre-stimulus activity in early visual areas is largely confined to the retinotopic location of the representation of the attended stimulus. This indicates that the topography of top-down modulation by attention is the same during the preparatory period and stimulus presentation. Indeed, Sylvester et al. (2009) have argued that the amplitude of pre-stimulus activity is correlated trial-by-trial with the amplitude of the stimulus-evoked response, indicating that a single source of modulation underlies both phenomena. Thus, learning-related changes in stimulus-evoked responses may also reflect changes in attentional modulation. A possible caveat is that although the time-course of change of pre-stimulus activity reflects the diff</w:t>
      </w:r>
      <w:r w:rsidR="00084966">
        <w:rPr>
          <w:lang w:val="en-GB"/>
        </w:rPr>
        <w:t>iculty level of the task (Fig 34</w:t>
      </w:r>
      <w:r>
        <w:rPr>
          <w:lang w:val="en-GB"/>
        </w:rPr>
        <w:t>a), this is not obviously the case for stimulu</w:t>
      </w:r>
      <w:r w:rsidR="00084966">
        <w:rPr>
          <w:lang w:val="en-GB"/>
        </w:rPr>
        <w:t>s-evoked activity (Fig. 34</w:t>
      </w:r>
      <w:r>
        <w:rPr>
          <w:lang w:val="en-GB"/>
        </w:rPr>
        <w:t>b). This might indicate a separation in the causes of the two changes.</w:t>
      </w:r>
    </w:p>
    <w:p w:rsidR="006840C3" w:rsidRDefault="006840C3" w:rsidP="00EC205D">
      <w:pPr>
        <w:pStyle w:val="NormalWeb"/>
        <w:spacing w:after="0" w:line="360" w:lineRule="auto"/>
        <w:ind w:firstLine="708"/>
        <w:jc w:val="both"/>
        <w:rPr>
          <w:lang w:val="en-GB"/>
        </w:rPr>
      </w:pPr>
      <w:r>
        <w:rPr>
          <w:lang w:val="en-GB"/>
        </w:rPr>
        <w:t xml:space="preserve">Another possible interpretation of our results is that two types of learning occur in parallel with no causal link between them. It could be that on the one hand, participants learn to perform the orientation task better and on the other, in parallel, they learn to deploy spatial attention more efficiently, resulting in reduced pre-stimulus activity in visual cortex. We think this unlikely because although two independent effects could easily change activity in the same direction, the probability they do so with the same time-course, by chance, is low. </w:t>
      </w:r>
    </w:p>
    <w:p w:rsidR="006840C3" w:rsidRDefault="006840C3" w:rsidP="006840C3">
      <w:pPr>
        <w:pStyle w:val="NormalWeb"/>
        <w:spacing w:after="0" w:line="360" w:lineRule="auto"/>
        <w:rPr>
          <w:lang w:val="en-GB"/>
        </w:rPr>
      </w:pPr>
    </w:p>
    <w:p w:rsidR="006840C3" w:rsidRDefault="006840C3" w:rsidP="000262BE">
      <w:pPr>
        <w:pStyle w:val="NormalWeb"/>
        <w:spacing w:after="0" w:line="360" w:lineRule="auto"/>
        <w:outlineLvl w:val="0"/>
        <w:rPr>
          <w:lang w:val="en-GB"/>
        </w:rPr>
      </w:pPr>
      <w:r>
        <w:rPr>
          <w:i/>
          <w:iCs/>
          <w:lang w:val="en-GB"/>
        </w:rPr>
        <w:t>Learning-related increases and decreases in activity</w:t>
      </w:r>
    </w:p>
    <w:p w:rsidR="006840C3" w:rsidRDefault="006840C3" w:rsidP="00EC205D">
      <w:pPr>
        <w:pStyle w:val="NormalWeb"/>
        <w:spacing w:after="0" w:line="360" w:lineRule="auto"/>
        <w:ind w:firstLine="708"/>
        <w:jc w:val="both"/>
        <w:rPr>
          <w:lang w:val="en-GB"/>
        </w:rPr>
      </w:pPr>
      <w:r>
        <w:rPr>
          <w:lang w:val="en-GB"/>
        </w:rPr>
        <w:t>We suggest that reductions in sensory activity that occur during perceptual learning may be attention-related effects reflecting task automation. Under this point of view, automation means the process of making performance of the task possible without active cognitive control. Attentional deployment is initially required in order to perform the task and perhaps also to facilitate the learning process. Once automation is complete, attentional deployment is no longer required. In our results, automation (on this account) is not total and the attentional requirement is reduced but not abolished.</w:t>
      </w:r>
    </w:p>
    <w:p w:rsidR="006840C3" w:rsidRDefault="006840C3" w:rsidP="00EC205D">
      <w:pPr>
        <w:pStyle w:val="NormalWeb"/>
        <w:spacing w:after="0" w:line="360" w:lineRule="auto"/>
        <w:ind w:firstLine="708"/>
        <w:jc w:val="both"/>
        <w:rPr>
          <w:lang w:val="en-GB"/>
        </w:rPr>
      </w:pPr>
      <w:r>
        <w:rPr>
          <w:lang w:val="en-GB"/>
        </w:rPr>
        <w:t xml:space="preserve">However, it is not plausible that all the learning-related sensory changes reported in the literature have this origin because several studies have reported increases, rather than decreases, in activity during learning. Indeed, such studies are more numerous than those reporting decreases. What determines whether activity increases or decreases is quite obscure. A possibility is that where it increases, this reflects increased neural activity, in turn reflecting deeper processing, and that where it decreases it reflects reduced attentional modulation through automation. It might be that both factors are at play in all reported experiments and the result in a given case reflects the balance of the two factors, which may be tipped one way or the other according to circumstances. Tasks that are documented to produce an increase in activity might require the development of additional sensory processing but be relatively unsuitable for automation, whereas tasks that merely require increased precision for learning, such as orientation discrimination, might be more readily accomplished with existing processing systems and be more amenable to automation. Of the studies that have reported reductions in activity, Schiltz et al (1999) employed a simple orientation discrimination task with gratings, as we did in the present study, while Mukai et al. (2007) used a task involving discriminating contrast changes in one of two components of a grating. These studies fit into an “automation-friendly” category. Of those studies that report increases in activity, Schwartz et al. (2002) and Yotsomoto et al (2008) both used texture discrimination tasks, Maertens &amp; Pollmann (2005) used curvature discrimination, Sigman et al (2005) used a shape identification task and Lewis et al. (2009) used a task involving detection of an inverted letter. It is unclear what these tasks have in common that orientation discrimination lacks, but they all involve relatively complex stimuli and might all fit in a category that makes automation more difficult and slower. However it may be inappropriate to seek to divide tasks into two categories, such as simple and complex; a more frutiful approach may be to consider that different tasks engender different balances, or rates of change, of plasticity (response increase) and attentional change (decrease). The only study we know that does not fit well into this schema is that of Furmanski et al (2004), who used an orientation discrimination task and obtained increases in activity. However, the interpretation of this study is complicated by the fact that training involved detection of low-contrast gratings whereas the increased activity occurred during orientation discrimination with high-contrast gratings, so clearly improvement could not occur by automation but only by altered processing. Thus, all reported studies fit our suggested dichotomy. It will be interesting to test the dichotomy by direct comparison of the sign of learning-related changes across tasks, and then to explore changes in pre-stimulus activity in circumstances where stimulus-evoked activity increases with learning. </w:t>
      </w:r>
    </w:p>
    <w:p w:rsidR="006840C3" w:rsidRDefault="006840C3" w:rsidP="006840C3">
      <w:pPr>
        <w:pStyle w:val="NormalWeb"/>
        <w:spacing w:after="0" w:line="360" w:lineRule="auto"/>
        <w:rPr>
          <w:lang w:val="en-GB"/>
        </w:rPr>
      </w:pPr>
    </w:p>
    <w:p w:rsidR="00E96A30" w:rsidRDefault="00E96A30" w:rsidP="006840C3">
      <w:pPr>
        <w:pStyle w:val="NormalWeb"/>
        <w:spacing w:after="0" w:line="360" w:lineRule="auto"/>
        <w:rPr>
          <w:lang w:val="en-GB"/>
        </w:rPr>
      </w:pPr>
    </w:p>
    <w:p w:rsidR="00E96A30" w:rsidRDefault="00E96A30" w:rsidP="006840C3">
      <w:pPr>
        <w:pStyle w:val="NormalWeb"/>
        <w:spacing w:after="0" w:line="360" w:lineRule="auto"/>
        <w:rPr>
          <w:lang w:val="en-GB"/>
        </w:rPr>
      </w:pPr>
    </w:p>
    <w:p w:rsidR="006840C3" w:rsidRDefault="006840C3" w:rsidP="000262BE">
      <w:pPr>
        <w:pStyle w:val="NormalWeb"/>
        <w:spacing w:after="0" w:line="360" w:lineRule="auto"/>
        <w:outlineLvl w:val="0"/>
        <w:rPr>
          <w:lang w:val="en-GB"/>
        </w:rPr>
      </w:pPr>
      <w:r>
        <w:rPr>
          <w:lang w:val="en-GB"/>
        </w:rPr>
        <w:t>3.7.5 Conclusion</w:t>
      </w:r>
    </w:p>
    <w:p w:rsidR="006840C3" w:rsidRDefault="006840C3" w:rsidP="006840C3">
      <w:pPr>
        <w:pStyle w:val="NormalWeb"/>
        <w:spacing w:after="0" w:line="360" w:lineRule="auto"/>
        <w:rPr>
          <w:lang w:val="en-GB"/>
        </w:rPr>
      </w:pPr>
    </w:p>
    <w:p w:rsidR="006840C3" w:rsidRDefault="006840C3" w:rsidP="00EC205D">
      <w:pPr>
        <w:pStyle w:val="NormalWeb"/>
        <w:spacing w:after="0" w:line="360" w:lineRule="auto"/>
        <w:ind w:firstLine="708"/>
        <w:jc w:val="both"/>
        <w:rPr>
          <w:lang w:val="en-GB"/>
        </w:rPr>
      </w:pPr>
      <w:r>
        <w:rPr>
          <w:rFonts w:ascii="Times-Roman" w:hAnsi="Times-Roman"/>
          <w:color w:val="141413"/>
          <w:lang w:val="en-GB"/>
        </w:rPr>
        <w:t>So far perceptual learning has been regarded as modulating how the brain processes sensory stimuli. Although some authors have pointed out that attention plays a role in perceptual learning, how the attentional signal that modifies processing in the visual cortex is affected by learning has not previously been studied. This study shows that not only is attention involved in the learning process, but also the attentional modulation of visual cortex is directly affected by learning.</w:t>
      </w:r>
    </w:p>
    <w:p w:rsidR="006840C3" w:rsidRPr="00561484" w:rsidRDefault="006840C3" w:rsidP="000262BE">
      <w:pPr>
        <w:pStyle w:val="NormalWeb"/>
        <w:pageBreakBefore/>
        <w:spacing w:after="0" w:line="360" w:lineRule="auto"/>
        <w:outlineLvl w:val="0"/>
        <w:rPr>
          <w:b/>
          <w:lang w:val="en-GB"/>
        </w:rPr>
      </w:pPr>
      <w:r w:rsidRPr="00561484">
        <w:rPr>
          <w:b/>
          <w:color w:val="000000"/>
          <w:lang w:val="en-GB"/>
        </w:rPr>
        <w:t>Chapter 3.8 Experiment 7</w:t>
      </w:r>
      <w:r w:rsidR="00D80848">
        <w:rPr>
          <w:b/>
          <w:color w:val="000000"/>
          <w:lang w:val="en-GB"/>
        </w:rPr>
        <w:t xml:space="preserve"> – Perceptual learning in conce</w:t>
      </w:r>
      <w:r w:rsidR="002061A9">
        <w:rPr>
          <w:b/>
          <w:color w:val="000000"/>
          <w:lang w:val="en-GB"/>
        </w:rPr>
        <w:t>ptually “simple” and “complex” kind of tasks.</w:t>
      </w:r>
    </w:p>
    <w:p w:rsidR="006840C3" w:rsidRDefault="006840C3" w:rsidP="006840C3">
      <w:pPr>
        <w:pStyle w:val="NormalWeb"/>
        <w:spacing w:after="0" w:line="360" w:lineRule="auto"/>
        <w:rPr>
          <w:lang w:val="en-GB"/>
        </w:rPr>
      </w:pPr>
    </w:p>
    <w:p w:rsidR="006840C3" w:rsidRDefault="006840C3" w:rsidP="000262BE">
      <w:pPr>
        <w:pStyle w:val="NormalWeb"/>
        <w:spacing w:after="0" w:line="360" w:lineRule="auto"/>
        <w:outlineLvl w:val="0"/>
        <w:rPr>
          <w:lang w:val="en-GB"/>
        </w:rPr>
      </w:pPr>
      <w:r>
        <w:rPr>
          <w:lang w:val="en-GB"/>
        </w:rPr>
        <w:t>3.8.1 Introduction</w:t>
      </w:r>
    </w:p>
    <w:p w:rsidR="006840C3" w:rsidRDefault="006840C3" w:rsidP="006840C3">
      <w:pPr>
        <w:pStyle w:val="NormalWeb"/>
        <w:spacing w:after="0" w:line="360" w:lineRule="auto"/>
        <w:rPr>
          <w:lang w:val="en-GB"/>
        </w:rPr>
      </w:pPr>
    </w:p>
    <w:p w:rsidR="006840C3" w:rsidRPr="006840C3" w:rsidRDefault="006840C3" w:rsidP="00EC205D">
      <w:pPr>
        <w:pStyle w:val="NormalWeb"/>
        <w:spacing w:after="0" w:line="360" w:lineRule="auto"/>
        <w:ind w:firstLine="708"/>
        <w:jc w:val="both"/>
        <w:rPr>
          <w:lang w:val="en-US"/>
        </w:rPr>
      </w:pPr>
      <w:r>
        <w:rPr>
          <w:rFonts w:ascii="TimesNewRomanPSMT" w:hAnsi="TimesNewRomanPSMT"/>
          <w:color w:val="000000"/>
          <w:lang w:val="en-GB"/>
        </w:rPr>
        <w:t>Studies in the literature have shown learning effects for many low-level perceptual tasks, including motion discrimination (Ball &amp; Sekuler, 1982), orientation discrimination (Vogels and Orban, 1985; Shiu and Pashler, 1992; Schoups et al., 1995), discrimination of complex gratings (Fiorentini 1980; 1981), vernier acuity (Fahle et al., 1995), line bisection tasks (Crist, 1997), structure from motion (Vidyasagar &amp; Stuart, 1993), stereopsis (Ramachandran &amp; Braddick, 1973; Ramachandran, 1976) and visual search (Ahissar and Hochstein, 1996). Effects are typically specific to the retinotopic location used for training, orientation discrimination learning is confined to the orientation used for training (Ramachandran and Braddick, 1973; Fiorentini and Berardi, 1981; Ahissar and Hochstein, 1997), and direction discrimination is confined to the direction used for training (Ball &amp; Sekuler, 1982). The specificity of perceptual learning has been taken to indicate (e.g. Karni &amp; Sagi, 1991) that the neural changes underlying perceptual learning take place at an early stage of visual processing.</w:t>
      </w:r>
    </w:p>
    <w:p w:rsidR="006840C3" w:rsidRPr="006840C3" w:rsidRDefault="006840C3" w:rsidP="00EC205D">
      <w:pPr>
        <w:pStyle w:val="NormalWeb"/>
        <w:spacing w:after="0" w:line="360" w:lineRule="auto"/>
        <w:ind w:firstLine="708"/>
        <w:jc w:val="both"/>
        <w:rPr>
          <w:lang w:val="en-US"/>
        </w:rPr>
      </w:pPr>
      <w:r>
        <w:rPr>
          <w:rFonts w:ascii="TimesNewRomanPSMT" w:hAnsi="TimesNewRomanPSMT"/>
          <w:color w:val="000000"/>
          <w:lang w:val="en-GB"/>
        </w:rPr>
        <w:t>Human imaging studies have found changes in early visual areas during perceptual learning. Some authors report reductions in activity (Schiltz et al., 1999; Mukai et al., 2007), while others report increases (Schwartz et al., 2002; Furmanski et al., 2004; Maertens &amp; Pollmann, 2005). Sigman et al. (2005) report increases in some brain regions and decreases in others, while Yotsumoto et al. (2008) found that over a protracted period, activity first increased with learning and then decreased. At first those results seems to be contradictory and confusing, but if we analyze the nature of the task, one possible explanation could be that learning different types of task might lead to different transformations of processes in early visual areas.</w:t>
      </w:r>
    </w:p>
    <w:p w:rsidR="006840C3" w:rsidRPr="006840C3" w:rsidRDefault="006840C3" w:rsidP="00EC205D">
      <w:pPr>
        <w:pStyle w:val="NormalWeb"/>
        <w:spacing w:after="0" w:line="360" w:lineRule="auto"/>
        <w:ind w:firstLine="708"/>
        <w:jc w:val="both"/>
        <w:rPr>
          <w:lang w:val="en-US"/>
        </w:rPr>
      </w:pPr>
      <w:r>
        <w:rPr>
          <w:lang w:val="en-GB"/>
        </w:rPr>
        <w:t xml:space="preserve">Some conceptually simple tasks may require less and less attentional support once the task is automated, and require no plasticity, whereas other more difficult tasks might require more and more attentional support in order to learn the best strategy to solve the task, and/or they might result in plastic changes that increase activity. As seen in literature, </w:t>
      </w:r>
      <w:r>
        <w:rPr>
          <w:color w:val="000000"/>
          <w:lang w:val="en-GB"/>
        </w:rPr>
        <w:t>most of the studies that show descreased activity are simple (i.e. simple orientation discrimination tasks).</w:t>
      </w:r>
    </w:p>
    <w:p w:rsidR="006840C3" w:rsidRPr="006840C3" w:rsidRDefault="006840C3" w:rsidP="00EC205D">
      <w:pPr>
        <w:pStyle w:val="NormalWeb"/>
        <w:spacing w:after="0" w:line="360" w:lineRule="auto"/>
        <w:ind w:firstLine="708"/>
        <w:jc w:val="both"/>
        <w:rPr>
          <w:lang w:val="en-US"/>
        </w:rPr>
      </w:pPr>
      <w:r>
        <w:rPr>
          <w:rFonts w:ascii="TimesNewRomanPSMT" w:hAnsi="TimesNewRomanPSMT"/>
          <w:color w:val="000000"/>
          <w:lang w:val="en-GB"/>
        </w:rPr>
        <w:t xml:space="preserve">In this study we try to test this hypothesis by comparing two different kinds of visual tasks, one a simple orientation discrimination task and one a complex task (a variation of the texture discrimination task (TDT) used by Karni and Sagi in 1991), and look at the stimulus-evoked response, to see if it behaves differently in the two tasks during learning. </w:t>
      </w:r>
      <w:r w:rsidR="002061A9">
        <w:rPr>
          <w:rFonts w:ascii="TimesNewRomanPSMT" w:hAnsi="TimesNewRomanPSMT"/>
          <w:color w:val="000000"/>
          <w:lang w:val="en-GB"/>
        </w:rPr>
        <w:t xml:space="preserve">We expect that in the </w:t>
      </w:r>
      <w:r w:rsidR="002061A9">
        <w:rPr>
          <w:rFonts w:ascii="TimesNewRomanPSMT" w:hAnsi="TimesNewRomanPSMT" w:hint="eastAsia"/>
          <w:color w:val="000000"/>
          <w:lang w:val="en-GB"/>
        </w:rPr>
        <w:t>“</w:t>
      </w:r>
      <w:r w:rsidR="002061A9">
        <w:rPr>
          <w:rFonts w:ascii="TimesNewRomanPSMT" w:hAnsi="TimesNewRomanPSMT"/>
          <w:color w:val="000000"/>
          <w:lang w:val="en-GB"/>
        </w:rPr>
        <w:t>simple</w:t>
      </w:r>
      <w:r w:rsidR="002061A9">
        <w:rPr>
          <w:rFonts w:ascii="TimesNewRomanPSMT" w:hAnsi="TimesNewRomanPSMT" w:hint="eastAsia"/>
          <w:color w:val="000000"/>
          <w:lang w:val="en-GB"/>
        </w:rPr>
        <w:t>”</w:t>
      </w:r>
      <w:r w:rsidR="002061A9">
        <w:rPr>
          <w:rFonts w:ascii="TimesNewRomanPSMT" w:hAnsi="TimesNewRomanPSMT"/>
          <w:color w:val="000000"/>
          <w:lang w:val="en-GB"/>
        </w:rPr>
        <w:t xml:space="preserve"> tasks activation would decrease during the training, whereas for the </w:t>
      </w:r>
      <w:r w:rsidR="002061A9">
        <w:rPr>
          <w:rFonts w:ascii="TimesNewRomanPSMT" w:hAnsi="TimesNewRomanPSMT" w:hint="eastAsia"/>
          <w:color w:val="000000"/>
          <w:lang w:val="en-GB"/>
        </w:rPr>
        <w:t>“</w:t>
      </w:r>
      <w:r w:rsidR="002061A9">
        <w:rPr>
          <w:rFonts w:ascii="TimesNewRomanPSMT" w:hAnsi="TimesNewRomanPSMT"/>
          <w:color w:val="000000"/>
          <w:lang w:val="en-GB"/>
        </w:rPr>
        <w:t>complex</w:t>
      </w:r>
      <w:r w:rsidR="002061A9">
        <w:rPr>
          <w:rFonts w:ascii="TimesNewRomanPSMT" w:hAnsi="TimesNewRomanPSMT" w:hint="eastAsia"/>
          <w:color w:val="000000"/>
          <w:lang w:val="en-GB"/>
        </w:rPr>
        <w:t>”</w:t>
      </w:r>
      <w:r w:rsidR="002061A9">
        <w:rPr>
          <w:rFonts w:ascii="TimesNewRomanPSMT" w:hAnsi="TimesNewRomanPSMT"/>
          <w:color w:val="000000"/>
          <w:lang w:val="en-GB"/>
        </w:rPr>
        <w:t xml:space="preserve"> task would increase in the same retinotopic location in early visual areas. </w:t>
      </w:r>
    </w:p>
    <w:p w:rsidR="006840C3" w:rsidRDefault="006840C3" w:rsidP="006840C3">
      <w:pPr>
        <w:pStyle w:val="NormalWeb"/>
        <w:spacing w:after="0" w:line="360" w:lineRule="auto"/>
        <w:rPr>
          <w:lang w:val="en-GB"/>
        </w:rPr>
      </w:pPr>
    </w:p>
    <w:p w:rsidR="006840C3" w:rsidRDefault="006840C3" w:rsidP="006840C3">
      <w:pPr>
        <w:pStyle w:val="NormalWeb"/>
        <w:spacing w:after="0" w:line="360" w:lineRule="auto"/>
        <w:rPr>
          <w:lang w:val="en-GB"/>
        </w:rPr>
      </w:pPr>
      <w:r>
        <w:rPr>
          <w:color w:val="000000"/>
          <w:lang w:val="en-GB"/>
        </w:rPr>
        <w:t>3.8.2Methods</w:t>
      </w:r>
    </w:p>
    <w:p w:rsidR="006840C3" w:rsidRDefault="006840C3" w:rsidP="006840C3">
      <w:pPr>
        <w:pStyle w:val="NormalWeb"/>
        <w:spacing w:after="0" w:line="360" w:lineRule="auto"/>
        <w:rPr>
          <w:lang w:val="en-GB"/>
        </w:rPr>
      </w:pPr>
    </w:p>
    <w:p w:rsidR="006840C3" w:rsidRDefault="006840C3" w:rsidP="00EC205D">
      <w:pPr>
        <w:pStyle w:val="NormalWeb"/>
        <w:spacing w:after="0" w:line="360" w:lineRule="auto"/>
        <w:ind w:firstLine="708"/>
        <w:jc w:val="both"/>
        <w:rPr>
          <w:lang w:val="en-GB"/>
        </w:rPr>
      </w:pPr>
      <w:r>
        <w:rPr>
          <w:color w:val="000000"/>
          <w:lang w:val="en-GB"/>
        </w:rPr>
        <w:t>Two orientation discrimination tasks were intermixed in 8 runs for each participant.</w:t>
      </w:r>
      <w:r w:rsidR="002061A9">
        <w:rPr>
          <w:color w:val="000000"/>
          <w:lang w:val="en-GB"/>
        </w:rPr>
        <w:t xml:space="preserve"> 8 participants took part at the experiment (5male 3 female; age 26 +/- 8).</w:t>
      </w:r>
    </w:p>
    <w:p w:rsidR="006840C3" w:rsidRDefault="006840C3" w:rsidP="00EC205D">
      <w:pPr>
        <w:pStyle w:val="NormalWeb"/>
        <w:spacing w:after="0" w:line="360" w:lineRule="auto"/>
        <w:ind w:firstLine="708"/>
        <w:jc w:val="both"/>
        <w:rPr>
          <w:lang w:val="en-GB"/>
        </w:rPr>
      </w:pPr>
      <w:r>
        <w:rPr>
          <w:color w:val="000000"/>
          <w:lang w:val="en-GB"/>
        </w:rPr>
        <w:t>Four runs for each kind of task, “simple” and “complex”, were alternated during the whole scan session while maintaining fixation at the centre of the screen. To ensure that the inclusion of two tasks did not compromise the amount of data collected for each task, subjects performed the same scan session twice (two different days with one day in between).</w:t>
      </w:r>
    </w:p>
    <w:p w:rsidR="006840C3" w:rsidRPr="006840C3" w:rsidRDefault="006840C3" w:rsidP="00EC205D">
      <w:pPr>
        <w:pStyle w:val="NormalWeb"/>
        <w:spacing w:after="0" w:line="360" w:lineRule="auto"/>
        <w:ind w:firstLine="708"/>
        <w:jc w:val="both"/>
        <w:rPr>
          <w:lang w:val="en-US"/>
        </w:rPr>
      </w:pPr>
      <w:r>
        <w:rPr>
          <w:color w:val="000000"/>
          <w:lang w:val="en-GB"/>
        </w:rPr>
        <w:t>The “simple” task consisted of an orientation discrimination task in which the subject had to discriminate the orientation of a Gabor (0.15 c/deg, 3 Hz, SD 1deg, truncated at 2 deg radius, peak contrast 100%) that could be oriented more clockwise or counter-clockwise from an imaginary (internal) reference of 45 deg. The Gabor always appeared in the upper left quadrant with the centre at an eccentricity of 3 deg. for a duration of 17 msec (one frame). The Gabor orientation with respect to the reference was calculated for each subject outside the scanner in a separate training session in which threshold was measured with a range of different orientation differences. Threshold was set at 70% responses correct. An orientation difference was selected that gave performance just above threshold and this orientation was used throughout the two scan sessions in that subject. After the stimulus presentation the fixation spot (grey) turned to blue, cueing the subject to indicate which way the Gabor was rotated with respect to the internal 45 deg reference, by pressing one of two buttons. In between trials, a blank screen with a grey fixation spot was displayed for a random Poisson interval (3-12 sec). Each run contained 25 trials.</w:t>
      </w:r>
    </w:p>
    <w:p w:rsidR="006840C3" w:rsidRDefault="006840C3" w:rsidP="00EC205D">
      <w:pPr>
        <w:pStyle w:val="NormalWeb"/>
        <w:spacing w:after="0" w:line="360" w:lineRule="auto"/>
        <w:ind w:firstLine="708"/>
        <w:jc w:val="both"/>
        <w:rPr>
          <w:color w:val="000000"/>
          <w:lang w:val="en-GB"/>
        </w:rPr>
      </w:pPr>
      <w:r>
        <w:rPr>
          <w:color w:val="000000"/>
          <w:lang w:val="en-GB"/>
        </w:rPr>
        <w:t>The “complex” task was a variant of Karni and Sagi’s TDT task</w:t>
      </w:r>
      <w:r w:rsidR="002061A9">
        <w:rPr>
          <w:color w:val="000000"/>
          <w:lang w:val="en-GB"/>
        </w:rPr>
        <w:t xml:space="preserve"> (Karni and Sagi, 1991)</w:t>
      </w:r>
      <w:r>
        <w:rPr>
          <w:color w:val="000000"/>
          <w:lang w:val="en-GB"/>
        </w:rPr>
        <w:t>. After a blank screen with a fixation spot was visualized for a Poisson random distributed time (3-12 sec), the stimulus was displayed for 17 msec. This consisted of a texture formed of a 17x17 array of short horizontal lines (0.42°x0.03° spaced 0.40°) slightly jittered in orientation. The target was a triplet of these lines that could be oriented either 135° or 45° from the vertical, to form an oriented textured-defined bar of length 3 elements. This target appeared in a random location within the upper left quadrant but confined within an eccentricity band of 2.5°-5°. Another target was simultaneously displayed at the fixation spot and consisted of a letter (an L or a T) randomly oriented. After the stimulus, a mask was presented for 300 msec consisting of 17x17 “v” shape images randomly oriented plus a combination of a T and L at fixation. Between the stimulus and mask a blank screen was presented for 100 msec. The two stimuli formed the basis of two tasks. The peripheral orientation judgement is the task used by Karni and Sagi to study perceptual learning while the central letter task encourages accurate fixation (the letter is too small to be resolved if not fixated) and provides an empirical check that fixation was good. After the mask, another blank screen with a green fixation point was visualized for 2 sec, indicating that the subject had to respond about the central task by pressing one out of two buttons (indicating L or T). After that the fixation spot turned red for 2 sec, indicating that the subject had to respond about the orientation of the two lines by pressing one out of two buttons (left or right oriented). The fixation spot then turned grey for the remainder of the ITI.</w:t>
      </w:r>
    </w:p>
    <w:p w:rsidR="00E96A30" w:rsidRDefault="00E96A30" w:rsidP="00E96A30">
      <w:pPr>
        <w:pStyle w:val="NormalWeb"/>
        <w:spacing w:after="0" w:line="360" w:lineRule="auto"/>
        <w:jc w:val="center"/>
        <w:rPr>
          <w:lang w:val="en-US"/>
        </w:rPr>
      </w:pPr>
      <w:r>
        <w:rPr>
          <w:noProof/>
          <w:lang w:val="en-GB" w:eastAsia="en-GB"/>
        </w:rPr>
        <w:drawing>
          <wp:inline distT="0" distB="0" distL="0" distR="0">
            <wp:extent cx="2974975" cy="2838450"/>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2974975" cy="2838450"/>
                    </a:xfrm>
                    <a:prstGeom prst="rect">
                      <a:avLst/>
                    </a:prstGeom>
                    <a:noFill/>
                    <a:ln w="9525">
                      <a:noFill/>
                      <a:miter lim="800000"/>
                      <a:headEnd/>
                      <a:tailEnd/>
                    </a:ln>
                  </pic:spPr>
                </pic:pic>
              </a:graphicData>
            </a:graphic>
          </wp:inline>
        </w:drawing>
      </w:r>
    </w:p>
    <w:p w:rsidR="00E96A30" w:rsidRPr="00E96A30" w:rsidRDefault="00084966" w:rsidP="00E96A30">
      <w:pPr>
        <w:pStyle w:val="NormalWeb"/>
        <w:spacing w:after="0" w:line="360" w:lineRule="auto"/>
        <w:jc w:val="both"/>
        <w:rPr>
          <w:lang w:val="en-US"/>
        </w:rPr>
      </w:pPr>
      <w:r>
        <w:rPr>
          <w:sz w:val="18"/>
          <w:szCs w:val="18"/>
          <w:lang w:val="en-GB"/>
        </w:rPr>
        <w:t>Fig.37</w:t>
      </w:r>
      <w:r w:rsidR="00E96A30">
        <w:rPr>
          <w:sz w:val="18"/>
          <w:szCs w:val="18"/>
          <w:lang w:val="en-GB"/>
        </w:rPr>
        <w:t xml:space="preserve"> Karni and Sagi's task. Scheme of one trial.</w:t>
      </w:r>
    </w:p>
    <w:p w:rsidR="00E96A30" w:rsidRDefault="00E96A30" w:rsidP="00E96A30">
      <w:pPr>
        <w:pStyle w:val="NormalWeb"/>
        <w:spacing w:after="0" w:line="360" w:lineRule="auto"/>
        <w:rPr>
          <w:i/>
          <w:iCs/>
          <w:lang w:val="en-GB"/>
        </w:rPr>
      </w:pPr>
      <w:r>
        <w:rPr>
          <w:i/>
          <w:iCs/>
          <w:lang w:val="en-GB"/>
        </w:rPr>
        <w:t xml:space="preserve">Localizer </w:t>
      </w:r>
    </w:p>
    <w:p w:rsidR="00E96A30" w:rsidRDefault="00E96A30" w:rsidP="00EC205D">
      <w:pPr>
        <w:pStyle w:val="NormalWeb"/>
        <w:spacing w:after="0" w:line="360" w:lineRule="auto"/>
        <w:ind w:firstLine="708"/>
        <w:jc w:val="both"/>
        <w:rPr>
          <w:color w:val="000000"/>
          <w:lang w:val="en-GB"/>
        </w:rPr>
      </w:pPr>
      <w:r>
        <w:rPr>
          <w:color w:val="000000"/>
          <w:lang w:val="en-GB"/>
        </w:rPr>
        <w:t xml:space="preserve">A localizer run was performed in order to extract ROIs for the upper left stimulated quadrant. The same ROIs were used for the simple and complex tasks, which involved similar visual field locations. We used a block design (15s blocks) in which a sector (confined at an eccentricity of 3-6 deg.) of the upper left quadrant is stimulated in one block and the other 3 quadrants are stimulated in the other. The ROIs excluded the fovea to avoid inclusion of activity related to the central letter in the complex task and the fixation colour changes in both tasks. Within each visual area (V1, V2) defined by retinotopic mapping, one region of interest (ROI) was extracted based on the activation due to the stimulus in the upper left sector. </w:t>
      </w:r>
    </w:p>
    <w:p w:rsidR="00E96A30" w:rsidRDefault="00E96A30" w:rsidP="00E96A30">
      <w:pPr>
        <w:pStyle w:val="NormalWeb"/>
        <w:spacing w:after="0" w:line="360" w:lineRule="auto"/>
        <w:jc w:val="center"/>
        <w:rPr>
          <w:lang w:val="en-US"/>
        </w:rPr>
      </w:pPr>
      <w:r>
        <w:rPr>
          <w:noProof/>
          <w:lang w:val="en-GB" w:eastAsia="en-GB"/>
        </w:rPr>
        <w:drawing>
          <wp:inline distT="0" distB="0" distL="0" distR="0">
            <wp:extent cx="5400000" cy="2843255"/>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5400000" cy="2843255"/>
                    </a:xfrm>
                    <a:prstGeom prst="rect">
                      <a:avLst/>
                    </a:prstGeom>
                    <a:noFill/>
                    <a:ln w="9525">
                      <a:noFill/>
                      <a:miter lim="800000"/>
                      <a:headEnd/>
                      <a:tailEnd/>
                    </a:ln>
                  </pic:spPr>
                </pic:pic>
              </a:graphicData>
            </a:graphic>
          </wp:inline>
        </w:drawing>
      </w:r>
    </w:p>
    <w:p w:rsidR="00E96A30" w:rsidRDefault="00084966" w:rsidP="000262BE">
      <w:pPr>
        <w:pStyle w:val="NormalWeb"/>
        <w:spacing w:after="0" w:line="360" w:lineRule="auto"/>
        <w:outlineLvl w:val="0"/>
        <w:rPr>
          <w:lang w:val="en-GB"/>
        </w:rPr>
      </w:pPr>
      <w:r>
        <w:rPr>
          <w:color w:val="000000"/>
          <w:sz w:val="18"/>
          <w:szCs w:val="18"/>
          <w:lang w:val="en-GB"/>
        </w:rPr>
        <w:t>Fig. 38</w:t>
      </w:r>
      <w:r w:rsidR="00E96A30">
        <w:rPr>
          <w:color w:val="000000"/>
          <w:sz w:val="18"/>
          <w:szCs w:val="18"/>
          <w:lang w:val="en-GB"/>
        </w:rPr>
        <w:t xml:space="preserve"> Localizer.</w:t>
      </w:r>
    </w:p>
    <w:p w:rsidR="00E96A30" w:rsidRDefault="00E96A30" w:rsidP="00E96A30">
      <w:pPr>
        <w:pStyle w:val="NormalWeb"/>
        <w:spacing w:after="0" w:line="360" w:lineRule="auto"/>
        <w:rPr>
          <w:lang w:val="en-GB"/>
        </w:rPr>
      </w:pPr>
    </w:p>
    <w:p w:rsidR="00E96A30" w:rsidRDefault="00E96A30" w:rsidP="000262BE">
      <w:pPr>
        <w:pStyle w:val="NormalWeb"/>
        <w:spacing w:after="0" w:line="360" w:lineRule="auto"/>
        <w:outlineLvl w:val="0"/>
        <w:rPr>
          <w:i/>
          <w:iCs/>
          <w:lang w:val="en-GB"/>
        </w:rPr>
      </w:pPr>
      <w:r>
        <w:rPr>
          <w:i/>
          <w:iCs/>
          <w:lang w:val="en-GB"/>
        </w:rPr>
        <w:t>Analysis</w:t>
      </w:r>
    </w:p>
    <w:p w:rsidR="00E96A30" w:rsidRDefault="00E96A30" w:rsidP="00EC205D">
      <w:pPr>
        <w:pStyle w:val="NormalWeb"/>
        <w:spacing w:after="0" w:line="360" w:lineRule="auto"/>
        <w:ind w:firstLine="708"/>
        <w:jc w:val="both"/>
        <w:rPr>
          <w:color w:val="000000"/>
          <w:lang w:val="en-GB"/>
        </w:rPr>
      </w:pPr>
      <w:r>
        <w:rPr>
          <w:color w:val="000000"/>
          <w:lang w:val="en-GB"/>
        </w:rPr>
        <w:t>Each stimulus presentation was modelled as a boxcar of 17 ms duration for both the simple orientation discrimination task and the Sagi's like task. We then run GLM separately for both tasks averaging all the runs of the first day and all the runs of the second day. We also divided each day in first two runs and second two runs to see changes over time in the same session.</w:t>
      </w:r>
    </w:p>
    <w:p w:rsidR="00E96A30" w:rsidRDefault="00E96A30" w:rsidP="00E96A30">
      <w:pPr>
        <w:pStyle w:val="NormalWeb"/>
        <w:spacing w:after="0" w:line="360" w:lineRule="auto"/>
        <w:jc w:val="both"/>
        <w:rPr>
          <w:color w:val="000000"/>
          <w:lang w:val="en-GB"/>
        </w:rPr>
      </w:pPr>
    </w:p>
    <w:p w:rsidR="00E96A30" w:rsidRDefault="00E96A30" w:rsidP="000262BE">
      <w:pPr>
        <w:pStyle w:val="NormalWeb"/>
        <w:spacing w:after="0" w:line="360" w:lineRule="auto"/>
        <w:outlineLvl w:val="0"/>
        <w:rPr>
          <w:lang w:val="en-GB"/>
        </w:rPr>
      </w:pPr>
      <w:r>
        <w:rPr>
          <w:color w:val="000000"/>
          <w:lang w:val="en-GB"/>
        </w:rPr>
        <w:t>3.8.3 Results</w:t>
      </w:r>
    </w:p>
    <w:p w:rsidR="00E96A30" w:rsidRDefault="00E96A30" w:rsidP="00E96A30">
      <w:pPr>
        <w:pStyle w:val="NormalWeb"/>
        <w:spacing w:after="0" w:line="360" w:lineRule="auto"/>
        <w:rPr>
          <w:i/>
          <w:iCs/>
          <w:color w:val="000000"/>
          <w:lang w:val="en-GB"/>
        </w:rPr>
      </w:pPr>
    </w:p>
    <w:p w:rsidR="00E96A30" w:rsidRDefault="00E96A30" w:rsidP="000262BE">
      <w:pPr>
        <w:pStyle w:val="NormalWeb"/>
        <w:spacing w:after="0" w:line="360" w:lineRule="auto"/>
        <w:outlineLvl w:val="0"/>
        <w:rPr>
          <w:lang w:val="en-GB"/>
        </w:rPr>
      </w:pPr>
      <w:r>
        <w:rPr>
          <w:i/>
          <w:iCs/>
          <w:color w:val="000000"/>
          <w:lang w:val="en-GB"/>
        </w:rPr>
        <w:t>Performances</w:t>
      </w:r>
    </w:p>
    <w:p w:rsidR="00E96A30" w:rsidRPr="00E96A30" w:rsidRDefault="00E96A30" w:rsidP="00EC205D">
      <w:pPr>
        <w:pStyle w:val="NormalWeb"/>
        <w:spacing w:after="0" w:line="360" w:lineRule="auto"/>
        <w:ind w:firstLine="708"/>
        <w:rPr>
          <w:lang w:val="en-US"/>
        </w:rPr>
      </w:pPr>
      <w:r>
        <w:rPr>
          <w:color w:val="000000"/>
          <w:lang w:val="en-GB"/>
        </w:rPr>
        <w:t>Behavioural performance shows an increase for both the tasks (for complex, the peripheral task is shown) over the same day</w:t>
      </w:r>
      <w:r w:rsidR="002061A9">
        <w:rPr>
          <w:color w:val="000000"/>
          <w:lang w:val="en-GB"/>
        </w:rPr>
        <w:t xml:space="preserve"> (</w:t>
      </w:r>
      <w:r w:rsidR="00B56A3D">
        <w:rPr>
          <w:color w:val="000000"/>
          <w:lang w:val="en-GB"/>
        </w:rPr>
        <w:t>F</w:t>
      </w:r>
      <w:r w:rsidR="009B4A4C">
        <w:rPr>
          <w:color w:val="000000"/>
          <w:lang w:val="en-GB"/>
        </w:rPr>
        <w:t>(3.92)</w:t>
      </w:r>
      <w:r w:rsidR="00B56A3D">
        <w:rPr>
          <w:color w:val="000000"/>
          <w:lang w:val="en-GB"/>
        </w:rPr>
        <w:t xml:space="preserve">=5.038; </w:t>
      </w:r>
      <w:r w:rsidR="002061A9">
        <w:rPr>
          <w:color w:val="000000"/>
          <w:lang w:val="en-GB"/>
        </w:rPr>
        <w:t>p&lt;0.001)</w:t>
      </w:r>
      <w:r>
        <w:rPr>
          <w:color w:val="000000"/>
          <w:lang w:val="en-GB"/>
        </w:rPr>
        <w:t>. This is largely retained between days, although for the complex task there is a drop in performance between the end of day one and the beginning of day two.</w:t>
      </w:r>
    </w:p>
    <w:p w:rsidR="00E96A30" w:rsidRPr="00E96A30" w:rsidRDefault="00E96A30" w:rsidP="00EC205D">
      <w:pPr>
        <w:pStyle w:val="NormalWeb"/>
        <w:spacing w:after="0" w:line="360" w:lineRule="auto"/>
        <w:ind w:firstLine="708"/>
        <w:rPr>
          <w:lang w:val="en-US"/>
        </w:rPr>
      </w:pPr>
      <w:r>
        <w:rPr>
          <w:color w:val="000000"/>
          <w:lang w:val="en-GB"/>
        </w:rPr>
        <w:t>Figure shows an average of all subjects for each run for both days. There is an increase of about 20% in terms of percent correct responses showing a clear learning effect, as expected.</w:t>
      </w:r>
    </w:p>
    <w:p w:rsidR="00E96A30" w:rsidRDefault="00BE20BE" w:rsidP="00E96A30">
      <w:pPr>
        <w:pStyle w:val="NormalWeb"/>
        <w:spacing w:after="0" w:line="360" w:lineRule="auto"/>
        <w:jc w:val="center"/>
        <w:rPr>
          <w:lang w:val="en-US"/>
        </w:rPr>
      </w:pPr>
      <w:r>
        <w:rPr>
          <w:noProof/>
          <w:lang w:val="en-GB" w:eastAsia="en-GB"/>
        </w:rPr>
        <w:drawing>
          <wp:inline distT="0" distB="0" distL="0" distR="0">
            <wp:extent cx="5400000" cy="1818768"/>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5400000" cy="1818768"/>
                    </a:xfrm>
                    <a:prstGeom prst="rect">
                      <a:avLst/>
                    </a:prstGeom>
                    <a:noFill/>
                    <a:ln w="9525">
                      <a:noFill/>
                      <a:miter lim="800000"/>
                      <a:headEnd/>
                      <a:tailEnd/>
                    </a:ln>
                  </pic:spPr>
                </pic:pic>
              </a:graphicData>
            </a:graphic>
          </wp:inline>
        </w:drawing>
      </w:r>
    </w:p>
    <w:p w:rsidR="00BE20BE" w:rsidRPr="00BE20BE" w:rsidRDefault="00084966" w:rsidP="000262BE">
      <w:pPr>
        <w:pStyle w:val="NormalWeb"/>
        <w:spacing w:after="0" w:line="360" w:lineRule="auto"/>
        <w:outlineLvl w:val="0"/>
        <w:rPr>
          <w:lang w:val="en-US"/>
        </w:rPr>
      </w:pPr>
      <w:r>
        <w:rPr>
          <w:sz w:val="18"/>
          <w:szCs w:val="18"/>
          <w:lang w:val="en-GB"/>
        </w:rPr>
        <w:t>Fig. 39</w:t>
      </w:r>
      <w:r w:rsidR="00BE20BE">
        <w:rPr>
          <w:sz w:val="18"/>
          <w:szCs w:val="18"/>
          <w:lang w:val="en-GB"/>
        </w:rPr>
        <w:t xml:space="preserve"> % correct responses for each run and each day averaged across subjects.</w:t>
      </w:r>
    </w:p>
    <w:p w:rsidR="00BE20BE" w:rsidRPr="00BE20BE" w:rsidRDefault="00BE20BE" w:rsidP="00BE20BE">
      <w:pPr>
        <w:pStyle w:val="NormalWeb"/>
        <w:spacing w:after="0" w:line="360" w:lineRule="auto"/>
        <w:rPr>
          <w:lang w:val="en-US"/>
        </w:rPr>
      </w:pPr>
    </w:p>
    <w:p w:rsidR="00BE20BE" w:rsidRDefault="00BE20BE" w:rsidP="000262BE">
      <w:pPr>
        <w:pStyle w:val="NormalWeb"/>
        <w:spacing w:after="0" w:line="360" w:lineRule="auto"/>
        <w:outlineLvl w:val="0"/>
        <w:rPr>
          <w:lang w:val="en-GB"/>
        </w:rPr>
      </w:pPr>
      <w:r>
        <w:rPr>
          <w:i/>
          <w:iCs/>
          <w:color w:val="000000"/>
          <w:lang w:val="en-GB"/>
        </w:rPr>
        <w:t>Imaging data</w:t>
      </w:r>
    </w:p>
    <w:p w:rsidR="00BE20BE" w:rsidRDefault="00BE20BE" w:rsidP="00EC205D">
      <w:pPr>
        <w:pStyle w:val="NormalWeb"/>
        <w:spacing w:after="0" w:line="360" w:lineRule="auto"/>
        <w:ind w:firstLine="708"/>
        <w:jc w:val="both"/>
        <w:rPr>
          <w:lang w:val="en-GB"/>
        </w:rPr>
      </w:pPr>
      <w:r>
        <w:rPr>
          <w:color w:val="000000"/>
          <w:lang w:val="en-GB"/>
        </w:rPr>
        <w:t>Figure shows, separately for the simple and complex tasks in each visual area, BOLD responses elicited by the stimuli. Results are shown separately for the first and second day, and for each day the results are shown averaged across all trials and also divided into the first two (of four) runs and the last two.</w:t>
      </w:r>
    </w:p>
    <w:p w:rsidR="00BE20BE" w:rsidRDefault="00BE20BE" w:rsidP="00E96A30">
      <w:pPr>
        <w:pStyle w:val="NormalWeb"/>
        <w:spacing w:after="0" w:line="360" w:lineRule="auto"/>
        <w:jc w:val="center"/>
        <w:rPr>
          <w:lang w:val="en-GB"/>
        </w:rPr>
      </w:pPr>
      <w:r>
        <w:rPr>
          <w:noProof/>
          <w:lang w:val="en-GB" w:eastAsia="en-GB"/>
        </w:rPr>
        <w:drawing>
          <wp:inline distT="0" distB="0" distL="0" distR="0">
            <wp:extent cx="5400000" cy="2740960"/>
            <wp:effectExtent l="1905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5400000" cy="2740960"/>
                    </a:xfrm>
                    <a:prstGeom prst="rect">
                      <a:avLst/>
                    </a:prstGeom>
                    <a:noFill/>
                    <a:ln w="9525">
                      <a:noFill/>
                      <a:miter lim="800000"/>
                      <a:headEnd/>
                      <a:tailEnd/>
                    </a:ln>
                  </pic:spPr>
                </pic:pic>
              </a:graphicData>
            </a:graphic>
          </wp:inline>
        </w:drawing>
      </w:r>
    </w:p>
    <w:p w:rsidR="00BE20BE" w:rsidRDefault="00084966" w:rsidP="00BE20BE">
      <w:pPr>
        <w:pStyle w:val="NormalWeb"/>
        <w:spacing w:after="0" w:line="360" w:lineRule="auto"/>
        <w:jc w:val="both"/>
        <w:rPr>
          <w:lang w:val="en-GB"/>
        </w:rPr>
      </w:pPr>
      <w:r>
        <w:rPr>
          <w:color w:val="000000"/>
          <w:sz w:val="18"/>
          <w:szCs w:val="18"/>
          <w:lang w:val="en-GB"/>
        </w:rPr>
        <w:t>Fig.40</w:t>
      </w:r>
      <w:r w:rsidR="00BE20BE">
        <w:rPr>
          <w:color w:val="000000"/>
          <w:sz w:val="18"/>
          <w:szCs w:val="18"/>
          <w:lang w:val="en-GB"/>
        </w:rPr>
        <w:t xml:space="preserve"> BOLD stimulus responses for each visual area separated by day and first/second half of each day session. Averaged across participants.</w:t>
      </w:r>
    </w:p>
    <w:p w:rsidR="00BE20BE" w:rsidRPr="00BE20BE" w:rsidRDefault="00BE20BE" w:rsidP="00EC205D">
      <w:pPr>
        <w:pStyle w:val="NormalWeb"/>
        <w:spacing w:after="0" w:line="360" w:lineRule="auto"/>
        <w:ind w:firstLine="708"/>
        <w:jc w:val="both"/>
        <w:rPr>
          <w:lang w:val="en-US"/>
        </w:rPr>
      </w:pPr>
      <w:r>
        <w:rPr>
          <w:color w:val="000000"/>
          <w:lang w:val="en-GB"/>
        </w:rPr>
        <w:t>Surprisingly, the same trend is present in both the tasks</w:t>
      </w:r>
      <w:r w:rsidR="002061A9">
        <w:rPr>
          <w:color w:val="000000"/>
          <w:lang w:val="en-GB"/>
        </w:rPr>
        <w:t xml:space="preserve"> but not significant (</w:t>
      </w:r>
      <w:r w:rsidR="00B56A3D">
        <w:rPr>
          <w:color w:val="000000"/>
          <w:lang w:val="en-GB"/>
        </w:rPr>
        <w:t xml:space="preserve">F=1.271; </w:t>
      </w:r>
      <w:r w:rsidR="002061A9">
        <w:rPr>
          <w:color w:val="000000"/>
          <w:lang w:val="en-GB"/>
        </w:rPr>
        <w:t>p&gt;0.05)</w:t>
      </w:r>
      <w:r>
        <w:rPr>
          <w:color w:val="000000"/>
          <w:lang w:val="en-GB"/>
        </w:rPr>
        <w:t xml:space="preserve">. We were expecting that in the complex task we would have an increase in activity as learning progressed because this is what has been observed in previous studies using similar stimuli (Karni and Sagi, 1991). For the simple task, we would expect a decrease in BOLD responses, because that is what was observed in Experiment 6. From a theoretical point of view, we hypothesized that the attentional load (and hence BOLD) would decrease in the simple task due to automation of the task, and that BOLD would increase in the complex task due to the assignment of increasing neural resources to the task, leading to opposite results. In fact the results show that for both tasks we have a trend of increase, but not statistically significant. </w:t>
      </w:r>
    </w:p>
    <w:p w:rsidR="00BE20BE" w:rsidRDefault="00BE20BE" w:rsidP="00BE20BE">
      <w:pPr>
        <w:pStyle w:val="NormalWeb"/>
        <w:spacing w:after="0" w:line="360" w:lineRule="auto"/>
        <w:rPr>
          <w:lang w:val="en-GB"/>
        </w:rPr>
      </w:pPr>
    </w:p>
    <w:p w:rsidR="00BE20BE" w:rsidRDefault="00BE20BE" w:rsidP="000262BE">
      <w:pPr>
        <w:pStyle w:val="NormalWeb"/>
        <w:spacing w:after="0" w:line="360" w:lineRule="auto"/>
        <w:outlineLvl w:val="0"/>
        <w:rPr>
          <w:color w:val="000000"/>
          <w:lang w:val="en-GB"/>
        </w:rPr>
      </w:pPr>
      <w:r>
        <w:rPr>
          <w:color w:val="000000"/>
          <w:lang w:val="en-GB"/>
        </w:rPr>
        <w:t>3.8.4 Discussion</w:t>
      </w:r>
    </w:p>
    <w:p w:rsidR="00BE20BE" w:rsidRDefault="00BE20BE" w:rsidP="00BE20BE">
      <w:pPr>
        <w:pStyle w:val="NormalWeb"/>
        <w:spacing w:after="0" w:line="360" w:lineRule="auto"/>
        <w:rPr>
          <w:color w:val="000000"/>
          <w:lang w:val="en-GB"/>
        </w:rPr>
      </w:pPr>
    </w:p>
    <w:p w:rsidR="00BE20BE" w:rsidRPr="00BE20BE" w:rsidRDefault="00BE20BE" w:rsidP="00EC205D">
      <w:pPr>
        <w:pStyle w:val="NormalWeb"/>
        <w:spacing w:after="0" w:line="360" w:lineRule="auto"/>
        <w:ind w:firstLine="708"/>
        <w:jc w:val="both"/>
        <w:rPr>
          <w:lang w:val="en-US"/>
        </w:rPr>
      </w:pPr>
      <w:r>
        <w:rPr>
          <w:color w:val="000000"/>
          <w:lang w:val="en-GB"/>
        </w:rPr>
        <w:t>In this experiment we tested the idea that different neural mechanisms may underly different forms of perceptual learning. We did this by comparing two different orientation discrimination tasks. Behavioural results show that learning is present for both tasks. In addition the difficulty level of both tasks was high (performance starts at chance level). Imaging results show a trend of increase in both visual areas for both the tasks.</w:t>
      </w:r>
    </w:p>
    <w:p w:rsidR="00BE20BE" w:rsidRPr="00BE20BE" w:rsidRDefault="00BE20BE" w:rsidP="00EC205D">
      <w:pPr>
        <w:pStyle w:val="NormalWeb"/>
        <w:spacing w:after="0" w:line="360" w:lineRule="auto"/>
        <w:ind w:firstLine="708"/>
        <w:jc w:val="both"/>
        <w:rPr>
          <w:lang w:val="en-US"/>
        </w:rPr>
      </w:pPr>
      <w:r>
        <w:rPr>
          <w:color w:val="000000"/>
          <w:lang w:val="en-GB"/>
        </w:rPr>
        <w:t>We would expect that levels of attention decrease while learning a simple orientation discrimination task because the subject soon starts to automate the task. In literature similar tasks to the one we used as a “simple” task were showing a reduction in BOLD activity while learned. In addition, tasks similar to the “complex” we used in this experiment were showing an increase in activity during learning. A classic explanation is that neural re-organization is involved in the process and this lead to a change in the BOLD activity. Following our results of experiment 6 we suggest that attention plays a role in perceptual learning. Under this point of view we were expecting the simple task to produce a reduction in activity during learning because of an automation of the task. For the complex task, it might be that an increase in attentional load is required during learning, in order to produce substantial changes of neural re-organization in the visual cortex. Surprisingly, our results shows a trend of increase of stimulus evoked responses in both tasks. A possible explanation is that learning two tasks in the same session could lead to different results compared to learn a task at the time. Thus, learning two tasks at the same time might require additional attentional load in order to learn the whole thing and this additional attentional load could be fundamental in order to trigger neural plasticity in the visual cortex.</w:t>
      </w:r>
      <w:r w:rsidR="0009380B">
        <w:rPr>
          <w:color w:val="000000"/>
          <w:lang w:val="en-GB"/>
        </w:rPr>
        <w:t xml:space="preserve"> Another possible explanation is that the two tasks might interact during learning. </w:t>
      </w:r>
      <w:r w:rsidR="00981F50">
        <w:rPr>
          <w:color w:val="000000"/>
          <w:lang w:val="en-GB"/>
        </w:rPr>
        <w:t>Learn</w:t>
      </w:r>
      <w:r w:rsidR="0009380B">
        <w:rPr>
          <w:color w:val="000000"/>
          <w:lang w:val="en-GB"/>
        </w:rPr>
        <w:t xml:space="preserve">ing the Karni task, </w:t>
      </w:r>
      <w:r w:rsidR="0009380B">
        <w:rPr>
          <w:color w:val="101010"/>
          <w:lang w:val="en-US"/>
        </w:rPr>
        <w:t xml:space="preserve">or the re-organization that </w:t>
      </w:r>
      <w:r w:rsidR="00981F50">
        <w:rPr>
          <w:color w:val="101010"/>
          <w:lang w:val="en-US"/>
        </w:rPr>
        <w:t xml:space="preserve">might </w:t>
      </w:r>
      <w:r w:rsidR="0009380B">
        <w:rPr>
          <w:color w:val="101010"/>
          <w:lang w:val="en-US"/>
        </w:rPr>
        <w:t xml:space="preserve">occurs as you </w:t>
      </w:r>
      <w:r w:rsidR="00981F50">
        <w:rPr>
          <w:color w:val="101010"/>
          <w:lang w:val="en-US"/>
        </w:rPr>
        <w:t>learn</w:t>
      </w:r>
      <w:r w:rsidR="0009380B">
        <w:rPr>
          <w:color w:val="101010"/>
          <w:lang w:val="en-US"/>
        </w:rPr>
        <w:t xml:space="preserve"> it, might somehow alter the neural requirements of the simple task</w:t>
      </w:r>
      <w:r w:rsidR="00981F50">
        <w:rPr>
          <w:color w:val="101010"/>
          <w:lang w:val="en-US"/>
        </w:rPr>
        <w:t>, and that would lead to a different kind of response during learning for the simple orientation discrimination task.</w:t>
      </w:r>
      <w:r w:rsidR="0009380B">
        <w:rPr>
          <w:color w:val="000000"/>
          <w:lang w:val="en-GB"/>
        </w:rPr>
        <w:t xml:space="preserve"> </w:t>
      </w:r>
    </w:p>
    <w:p w:rsidR="00EF5785" w:rsidRDefault="00EF5785">
      <w:pPr>
        <w:rPr>
          <w:rFonts w:ascii="Times New Roman" w:eastAsia="Times New Roman" w:hAnsi="Times New Roman" w:cs="Times New Roman"/>
          <w:b/>
          <w:color w:val="000000"/>
          <w:sz w:val="36"/>
          <w:szCs w:val="36"/>
          <w:lang w:val="en-GB" w:eastAsia="it-IT"/>
        </w:rPr>
      </w:pPr>
      <w:r>
        <w:rPr>
          <w:b/>
          <w:color w:val="000000"/>
          <w:sz w:val="36"/>
          <w:szCs w:val="36"/>
          <w:lang w:val="en-GB"/>
        </w:rPr>
        <w:br w:type="page"/>
      </w:r>
    </w:p>
    <w:p w:rsidR="00BE20BE" w:rsidRPr="00561484" w:rsidRDefault="00BE20BE" w:rsidP="000262BE">
      <w:pPr>
        <w:pStyle w:val="NormalWeb"/>
        <w:spacing w:after="0" w:line="360" w:lineRule="auto"/>
        <w:outlineLvl w:val="0"/>
        <w:rPr>
          <w:b/>
          <w:color w:val="000000"/>
          <w:sz w:val="36"/>
          <w:szCs w:val="36"/>
          <w:lang w:val="en-GB"/>
        </w:rPr>
      </w:pPr>
      <w:r w:rsidRPr="00561484">
        <w:rPr>
          <w:b/>
          <w:color w:val="000000"/>
          <w:sz w:val="36"/>
          <w:szCs w:val="36"/>
          <w:lang w:val="en-GB"/>
        </w:rPr>
        <w:t>Conclusions</w:t>
      </w:r>
    </w:p>
    <w:p w:rsidR="00BE20BE" w:rsidRDefault="00BE20BE" w:rsidP="00EF5785">
      <w:pPr>
        <w:pStyle w:val="NormalWeb"/>
        <w:spacing w:after="0" w:line="360" w:lineRule="auto"/>
        <w:rPr>
          <w:lang w:val="en-GB"/>
        </w:rPr>
      </w:pPr>
    </w:p>
    <w:p w:rsidR="00087842" w:rsidRDefault="00BE20BE" w:rsidP="00EC205D">
      <w:pPr>
        <w:pStyle w:val="NormalWeb"/>
        <w:spacing w:after="0" w:line="360" w:lineRule="auto"/>
        <w:ind w:firstLine="708"/>
        <w:jc w:val="both"/>
        <w:rPr>
          <w:color w:val="141413"/>
          <w:lang w:val="en-GB"/>
        </w:rPr>
      </w:pPr>
      <w:r>
        <w:rPr>
          <w:lang w:val="en-GB"/>
        </w:rPr>
        <w:t xml:space="preserve">In this thesis we investigated the role of attention in the visual cortex as a pure modulation in the absence of visual stimulation. As previously documented, this modulation is specifically driven by the same network that is responsible for the stimulus evoked gain during attentional tasks. Thus, the first question we tried to address is whether pre-stimulus activity and stimulus evoked response are related in some way. </w:t>
      </w:r>
      <w:r>
        <w:rPr>
          <w:color w:val="141413"/>
          <w:lang w:val="en-GB"/>
        </w:rPr>
        <w:t xml:space="preserve">It might be that those two signals are correlated, and this would suggest that a single mechanism is underlying the attentional modulation to the two signals in the cortex. Another possibility is that preparatory responses are applied to all the neurons of the particular retinotopic location, whereas stimulus evoked responses are boosted only for the neural populations that are specifically responding to the particular features of the object to be detected. Another explanation is that the two modulations are completely independent, therefore part of two different processes. In order to investigate these hypotheses we examined pre-stimulus and stimulus evoked responses by trying to modulate attention, varying the difficulty of the task in different ways to see whether the same direction of changes in stimulus evoked responses were also found in pre-stimulus activity. In the third experiment we found that the same trend (although not significant) was found in both the processes. In physiology there is evidence of a lack of correlation on a trial by trial basis between the two processes. In neuro-imaging Sylvester and colleagues (2009) found a correlation on the same analysis based on bold response. We did the same analysis and we had no correlations. Finally we analyzed changes of the two modulations over time and we found that the same changes occur in the two processes. The differences between all these results might reside in the high level of noise in pre-stimulus activity or the differences between strategies adopted to solve each task and interpersonal subject differences. Although some of the results suggest </w:t>
      </w:r>
      <w:r w:rsidR="00087842">
        <w:rPr>
          <w:color w:val="141413"/>
          <w:lang w:val="en-GB"/>
        </w:rPr>
        <w:t>that the two modulations underlies</w:t>
      </w:r>
      <w:r>
        <w:rPr>
          <w:color w:val="141413"/>
          <w:lang w:val="en-GB"/>
        </w:rPr>
        <w:t xml:space="preserve"> a common additive process, we think that further examinations are needed in order to make any strong conclusions. </w:t>
      </w:r>
    </w:p>
    <w:p w:rsidR="00087842" w:rsidRDefault="00BE20BE" w:rsidP="00EC205D">
      <w:pPr>
        <w:pStyle w:val="NormalWeb"/>
        <w:spacing w:after="0" w:line="360" w:lineRule="auto"/>
        <w:ind w:firstLine="708"/>
        <w:jc w:val="both"/>
        <w:rPr>
          <w:rFonts w:ascii="Times-Roman" w:hAnsi="Times-Roman"/>
          <w:color w:val="141413"/>
          <w:lang w:val="en-GB"/>
        </w:rPr>
      </w:pPr>
      <w:r>
        <w:rPr>
          <w:color w:val="141413"/>
          <w:lang w:val="en-GB"/>
        </w:rPr>
        <w:t>Another question that we tried to address is the relationship between spatial and feature based attention when these modulations are combined during the preparatory period. Concerning differences when the two modulations are taken alone, o</w:t>
      </w:r>
      <w:r>
        <w:rPr>
          <w:color w:val="000000"/>
          <w:lang w:val="en-GB"/>
        </w:rPr>
        <w:t xml:space="preserve">ur results are in line with previous findings: first when a subject is cued to a particular location in the visual field, in the cortex we see an activation of the particular retinotopic location that has been cued. Second, if a particular feature has been cued, the pre-stimulus activity is spread across the entire visual area. When combined, they </w:t>
      </w:r>
      <w:r>
        <w:rPr>
          <w:rFonts w:ascii="Times-Roman" w:hAnsi="Times-Roman"/>
          <w:color w:val="141413"/>
          <w:lang w:val="en-GB"/>
        </w:rPr>
        <w:t xml:space="preserve">produce little if any increase in the strength of activation compared with the case where only one of the cues is used. This was the same for attended and unattended locations, indicating that there might be a saturation of the attentional resources in the BOLD responses in the visual cortex. </w:t>
      </w:r>
      <w:r w:rsidR="00087842">
        <w:rPr>
          <w:rFonts w:ascii="Times-Roman" w:hAnsi="Times-Roman"/>
          <w:color w:val="141413"/>
          <w:lang w:val="en-GB"/>
        </w:rPr>
        <w:t xml:space="preserve">Trying to interpret the relation between those two process in the early visual cortex could lead to a better </w:t>
      </w:r>
      <w:r w:rsidR="00087842">
        <w:rPr>
          <w:rFonts w:ascii="Times-Roman" w:hAnsi="Times-Roman" w:hint="eastAsia"/>
          <w:color w:val="141413"/>
          <w:lang w:val="en-GB"/>
        </w:rPr>
        <w:t>knowledge</w:t>
      </w:r>
      <w:r w:rsidR="00087842">
        <w:rPr>
          <w:rFonts w:ascii="Times-Roman" w:hAnsi="Times-Roman"/>
          <w:color w:val="141413"/>
          <w:lang w:val="en-GB"/>
        </w:rPr>
        <w:t xml:space="preserve"> about the networks involved in the attentional top down modulation of the visual cortex. From literature we know that different network are active during feature based or spatial attentional modulations and different strategies </w:t>
      </w:r>
      <w:r w:rsidR="00087842">
        <w:rPr>
          <w:rFonts w:ascii="Times-Roman" w:hAnsi="Times-Roman" w:hint="eastAsia"/>
          <w:color w:val="141413"/>
          <w:lang w:val="en-GB"/>
        </w:rPr>
        <w:t>would</w:t>
      </w:r>
      <w:r w:rsidR="00087842">
        <w:rPr>
          <w:rFonts w:ascii="Times-Roman" w:hAnsi="Times-Roman"/>
          <w:color w:val="141413"/>
          <w:lang w:val="en-GB"/>
        </w:rPr>
        <w:t xml:space="preserve"> be able to guide behaviour of the subject and it</w:t>
      </w:r>
      <w:r w:rsidR="00087842">
        <w:rPr>
          <w:rFonts w:ascii="Times-Roman" w:hAnsi="Times-Roman" w:hint="eastAsia"/>
          <w:color w:val="141413"/>
          <w:lang w:val="en-GB"/>
        </w:rPr>
        <w:t>’</w:t>
      </w:r>
      <w:r w:rsidR="00087842">
        <w:rPr>
          <w:rFonts w:ascii="Times-Roman" w:hAnsi="Times-Roman"/>
          <w:color w:val="141413"/>
          <w:lang w:val="en-GB"/>
        </w:rPr>
        <w:t xml:space="preserve">s important to understand how different top down modulation </w:t>
      </w:r>
      <w:r w:rsidR="00087842">
        <w:rPr>
          <w:rFonts w:ascii="Times-Roman" w:hAnsi="Times-Roman" w:hint="eastAsia"/>
          <w:color w:val="141413"/>
          <w:lang w:val="en-GB"/>
        </w:rPr>
        <w:t>results in different interaction with the world.</w:t>
      </w:r>
      <w:r w:rsidR="00087842">
        <w:rPr>
          <w:rFonts w:ascii="Times-Roman" w:hAnsi="Times-Roman"/>
          <w:color w:val="141413"/>
          <w:lang w:val="en-GB"/>
        </w:rPr>
        <w:t xml:space="preserve"> </w:t>
      </w:r>
    </w:p>
    <w:p w:rsidR="00087842" w:rsidRDefault="00BE20BE" w:rsidP="00EC205D">
      <w:pPr>
        <w:pStyle w:val="NormalWeb"/>
        <w:spacing w:after="0" w:line="360" w:lineRule="auto"/>
        <w:ind w:firstLine="708"/>
        <w:jc w:val="both"/>
        <w:rPr>
          <w:rFonts w:ascii="Times-Roman" w:hAnsi="Times-Roman"/>
          <w:color w:val="141413"/>
          <w:lang w:val="en-GB"/>
        </w:rPr>
      </w:pPr>
      <w:r>
        <w:rPr>
          <w:rFonts w:ascii="Times-Roman" w:hAnsi="Times-Roman"/>
          <w:color w:val="141413"/>
          <w:lang w:val="en-GB"/>
        </w:rPr>
        <w:t xml:space="preserve">Another process that we examined was eye movements. We tried to test the idea that covert attention precedes the eye movement to calculate the exact point of the next fixation, leading to the hypothesis that the pre-stimulus baseline increase could guide saccade movements by giving feedback about retinotopic position in the visual areas to the eye movement system, and that the strength of this signal may correlate with saccade latency and accuracy. The results show no relationship on a trial by trial basis, nor on the basis of the average for each condition. We extract three possible explanations: firstly the subject does not allocate any spatial attention to the cued location in order to prepare for the saccade but just tries to remember it. Secondly eye movements directed to a location in space might require a shift in attention but not during the preparatory period, only when an eye movement is intended to be made. Finally, covert attention is in opposition to eye movement and it is required only when eye movement is not requested or needed. </w:t>
      </w:r>
      <w:r w:rsidR="00FB1CC0">
        <w:rPr>
          <w:rFonts w:ascii="Times-Roman" w:hAnsi="Times-Roman"/>
          <w:color w:val="141413"/>
          <w:lang w:val="en-GB"/>
        </w:rPr>
        <w:t>If that</w:t>
      </w:r>
      <w:r w:rsidR="00FB1CC0">
        <w:rPr>
          <w:rFonts w:ascii="Times-Roman" w:hAnsi="Times-Roman" w:hint="eastAsia"/>
          <w:color w:val="141413"/>
          <w:lang w:val="en-GB"/>
        </w:rPr>
        <w:t>’</w:t>
      </w:r>
      <w:r w:rsidR="00FB1CC0">
        <w:rPr>
          <w:rFonts w:ascii="Times-Roman" w:hAnsi="Times-Roman"/>
          <w:color w:val="141413"/>
          <w:lang w:val="en-GB"/>
        </w:rPr>
        <w:t>s the case, future directions of study might be on the relationship of those two opponent process and how fast could, for example, be the switching between them.</w:t>
      </w:r>
    </w:p>
    <w:p w:rsidR="00BE20BE" w:rsidRPr="00BE20BE" w:rsidRDefault="00BE20BE" w:rsidP="00EC205D">
      <w:pPr>
        <w:pStyle w:val="NormalWeb"/>
        <w:spacing w:after="0" w:line="360" w:lineRule="auto"/>
        <w:ind w:firstLine="708"/>
        <w:jc w:val="both"/>
        <w:rPr>
          <w:lang w:val="en-US"/>
        </w:rPr>
      </w:pPr>
      <w:r>
        <w:rPr>
          <w:rFonts w:ascii="Times-Roman" w:hAnsi="Times-Roman"/>
          <w:color w:val="141413"/>
          <w:lang w:val="en-GB"/>
        </w:rPr>
        <w:t>The last relationship we tried to investigate was between pre-stimulus activity and perceptual learning. The results show that attention is modified during perceptual learning and suggest that learning some tasks might result in an automation of the learned task. We then tested the hypothesis that some tasks might require less and less attentional support once the task is automated, and require no plasticity, whereas other more difficult tasks might require more and more attentional support in order to learn the best strategy to solve the task, and/or they might result in plastic changes that increase activity. The results show that when combining two tasks that in the literature are meant to produce different results (decrease or increase in stimulus evoked response during learning) they produced the same results of an increase in activity for both. This suggests that learning a single task is different from learning two tasks at the same time, and this combination might change the level of complexity in learning.</w:t>
      </w:r>
    </w:p>
    <w:p w:rsidR="00BE20BE" w:rsidRPr="00BE20BE" w:rsidRDefault="00BE20BE" w:rsidP="00EC205D">
      <w:pPr>
        <w:pStyle w:val="NormalWeb"/>
        <w:spacing w:after="0" w:line="360" w:lineRule="auto"/>
        <w:ind w:firstLine="708"/>
        <w:jc w:val="both"/>
        <w:rPr>
          <w:lang w:val="en-US"/>
        </w:rPr>
      </w:pPr>
      <w:r>
        <w:rPr>
          <w:color w:val="141413"/>
          <w:lang w:val="en-GB"/>
        </w:rPr>
        <w:t>To conclude, in this thesis we examined pre-stimulus activity in relation to different processes in the visual system. The results show that pre-stimulus activity is strongly re</w:t>
      </w:r>
      <w:r w:rsidR="00ED1D02">
        <w:rPr>
          <w:color w:val="141413"/>
          <w:lang w:val="en-GB"/>
        </w:rPr>
        <w:t xml:space="preserve">lated to some of them, and it </w:t>
      </w:r>
      <w:r>
        <w:rPr>
          <w:color w:val="141413"/>
          <w:lang w:val="en-GB"/>
        </w:rPr>
        <w:t xml:space="preserve">is involved in different ways in the construction of our visual perception and experience. </w:t>
      </w:r>
    </w:p>
    <w:p w:rsidR="00EF5785" w:rsidRDefault="00EF5785">
      <w:pPr>
        <w:rPr>
          <w:rFonts w:ascii="Times New Roman" w:eastAsia="Times New Roman" w:hAnsi="Times New Roman" w:cs="Times New Roman"/>
          <w:b/>
          <w:sz w:val="36"/>
          <w:szCs w:val="36"/>
          <w:lang w:val="en-GB" w:eastAsia="it-IT"/>
        </w:rPr>
      </w:pPr>
      <w:r>
        <w:rPr>
          <w:b/>
          <w:sz w:val="36"/>
          <w:szCs w:val="36"/>
          <w:lang w:val="en-GB"/>
        </w:rPr>
        <w:br w:type="page"/>
      </w:r>
    </w:p>
    <w:p w:rsidR="00BE20BE" w:rsidRDefault="00BE20BE" w:rsidP="000262BE">
      <w:pPr>
        <w:pStyle w:val="NormalWeb"/>
        <w:spacing w:after="0" w:line="360" w:lineRule="auto"/>
        <w:outlineLvl w:val="0"/>
        <w:rPr>
          <w:b/>
          <w:sz w:val="36"/>
          <w:szCs w:val="36"/>
          <w:lang w:val="en-GB"/>
        </w:rPr>
      </w:pPr>
      <w:r w:rsidRPr="00561484">
        <w:rPr>
          <w:b/>
          <w:sz w:val="36"/>
          <w:szCs w:val="36"/>
          <w:lang w:val="en-GB"/>
        </w:rPr>
        <w:t>References</w:t>
      </w:r>
    </w:p>
    <w:p w:rsidR="00561484" w:rsidRPr="00561484" w:rsidRDefault="00561484" w:rsidP="00EF5785">
      <w:pPr>
        <w:pStyle w:val="NormalWeb"/>
        <w:spacing w:after="0" w:line="360" w:lineRule="auto"/>
        <w:jc w:val="both"/>
        <w:rPr>
          <w:b/>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Ahissar, M. &amp; Hochstein, S. (1993) Attentional control of early perceptual learning.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90</w:t>
      </w:r>
      <w:r>
        <w:rPr>
          <w:rFonts w:ascii="Arial" w:hAnsi="Arial"/>
          <w:sz w:val="24"/>
          <w:szCs w:val="24"/>
          <w:lang w:val="en-GB"/>
        </w:rPr>
        <w:t>, 5718-5722.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Ahissar, M. &amp; Hochstein, S. (1996) Learning pop-out detection: specificities to stimulus characteristics.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36</w:t>
      </w:r>
      <w:r>
        <w:rPr>
          <w:rFonts w:ascii="Arial" w:hAnsi="Arial"/>
          <w:sz w:val="24"/>
          <w:szCs w:val="24"/>
          <w:lang w:val="en-GB"/>
        </w:rPr>
        <w:t>, 3487-3500.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Ahissar, M. &amp; Hochstein, S. (1997) Task difficulty and the specificity of perceptual learning.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387</w:t>
      </w:r>
      <w:r>
        <w:rPr>
          <w:rFonts w:ascii="Arial" w:hAnsi="Arial"/>
          <w:sz w:val="24"/>
          <w:szCs w:val="24"/>
          <w:lang w:val="en-GB"/>
        </w:rPr>
        <w:t>, 401-406.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Alexander, G.E., DeLong, M.R. &amp; Strick, P.L. (1986) Parallel organization of functionally segregated circuits linking basal ganglia and cortex.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9</w:t>
      </w:r>
      <w:r>
        <w:rPr>
          <w:rFonts w:ascii="Arial" w:hAnsi="Arial"/>
          <w:sz w:val="24"/>
          <w:szCs w:val="24"/>
          <w:lang w:val="en-GB"/>
        </w:rPr>
        <w:t>, 357-381.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Aston-Jones, G., Chiang, C. &amp; Alexinsky, T. (1991) Discharge of noradrenergic locus coeruleus neurons in behaving rats and monkeys suggests a role in vigilance. </w:t>
      </w:r>
      <w:r>
        <w:rPr>
          <w:rFonts w:ascii="Arial" w:hAnsi="Arial"/>
          <w:i/>
          <w:sz w:val="24"/>
          <w:szCs w:val="24"/>
          <w:lang w:val="en-GB"/>
        </w:rPr>
        <w:t>Prog Brain Res</w:t>
      </w:r>
      <w:r>
        <w:rPr>
          <w:rFonts w:ascii="Arial" w:hAnsi="Arial"/>
          <w:sz w:val="24"/>
          <w:szCs w:val="24"/>
          <w:lang w:val="en-GB"/>
        </w:rPr>
        <w:t xml:space="preserve">, </w:t>
      </w:r>
      <w:r>
        <w:rPr>
          <w:rFonts w:ascii="Arial" w:hAnsi="Arial"/>
          <w:b/>
          <w:sz w:val="24"/>
          <w:szCs w:val="24"/>
          <w:lang w:val="en-GB"/>
        </w:rPr>
        <w:t>88</w:t>
      </w:r>
      <w:r>
        <w:rPr>
          <w:rFonts w:ascii="Arial" w:hAnsi="Arial"/>
          <w:sz w:val="24"/>
          <w:szCs w:val="24"/>
          <w:lang w:val="en-GB"/>
        </w:rPr>
        <w:t>, 501-520.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Baddeley, A. (1986) Modularity, mass-action and memory. </w:t>
      </w:r>
      <w:r>
        <w:rPr>
          <w:rFonts w:ascii="Arial" w:hAnsi="Arial"/>
          <w:i/>
          <w:sz w:val="24"/>
          <w:szCs w:val="24"/>
          <w:lang w:val="en-GB"/>
        </w:rPr>
        <w:t>Q J Exp Psychol A</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527-533.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Baddeley, A., Logie, R., Bressi, S., Della Sala, S. &amp; Spinnler, H. (1986) Dementia and working memory. </w:t>
      </w:r>
      <w:r>
        <w:rPr>
          <w:rFonts w:ascii="Arial" w:hAnsi="Arial"/>
          <w:i/>
          <w:sz w:val="24"/>
          <w:szCs w:val="24"/>
          <w:lang w:val="en-GB"/>
        </w:rPr>
        <w:t>Q J Exp Psychol A</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603-618.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Baizer, J.S., Ungerleider, L.G. &amp; Desimone, R. (1991) Organization of visual inputs to the inferior temporal and posterior parietal cortex in macaques.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168-190.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Ball, K. &amp; Sekuler, R. (1982) A specific and enduring improvement in visual motion discrimination.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218</w:t>
      </w:r>
      <w:r>
        <w:rPr>
          <w:rFonts w:ascii="Arial" w:hAnsi="Arial"/>
          <w:sz w:val="24"/>
          <w:szCs w:val="24"/>
          <w:lang w:val="en-GB"/>
        </w:rPr>
        <w:t>, 697-698.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Bandettini, P.A., Kwong, K.K., Davis, T.L., Tootell, R.B., Wong, E.C., Fox, P.T., Belliveau, J.W., Weisskoff, R.M. &amp; Rosen, B.R. (1997) Characterization of cerebral blood oxygenation and flow changes during prolonged brain activation. </w:t>
      </w:r>
      <w:r>
        <w:rPr>
          <w:rFonts w:ascii="Arial" w:hAnsi="Arial"/>
          <w:i/>
          <w:sz w:val="24"/>
          <w:szCs w:val="24"/>
          <w:lang w:val="en-GB"/>
        </w:rPr>
        <w:t>Hum Brain Mapp</w:t>
      </w:r>
      <w:r>
        <w:rPr>
          <w:rFonts w:ascii="Arial" w:hAnsi="Arial"/>
          <w:sz w:val="24"/>
          <w:szCs w:val="24"/>
          <w:lang w:val="en-GB"/>
        </w:rPr>
        <w:t xml:space="preserve">, </w:t>
      </w:r>
      <w:r>
        <w:rPr>
          <w:rFonts w:ascii="Arial" w:hAnsi="Arial"/>
          <w:b/>
          <w:sz w:val="24"/>
          <w:szCs w:val="24"/>
          <w:lang w:val="en-GB"/>
        </w:rPr>
        <w:t>5</w:t>
      </w:r>
      <w:r>
        <w:rPr>
          <w:rFonts w:ascii="Arial" w:hAnsi="Arial"/>
          <w:sz w:val="24"/>
          <w:szCs w:val="24"/>
          <w:lang w:val="en-GB"/>
        </w:rPr>
        <w:t>, 93-109.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Bandettini, P.A. &amp; Wong, E.C. (1997) Magnetic resonance imaging of human brain function. Principles, practicalities, and possibilities. </w:t>
      </w:r>
      <w:r>
        <w:rPr>
          <w:rFonts w:ascii="Arial" w:hAnsi="Arial"/>
          <w:i/>
          <w:sz w:val="24"/>
          <w:szCs w:val="24"/>
          <w:lang w:val="en-GB"/>
        </w:rPr>
        <w:t>Neurosurg Clin N Am</w:t>
      </w:r>
      <w:r>
        <w:rPr>
          <w:rFonts w:ascii="Arial" w:hAnsi="Arial"/>
          <w:sz w:val="24"/>
          <w:szCs w:val="24"/>
          <w:lang w:val="en-GB"/>
        </w:rPr>
        <w:t xml:space="preserve">, </w:t>
      </w:r>
      <w:r>
        <w:rPr>
          <w:rFonts w:ascii="Arial" w:hAnsi="Arial"/>
          <w:b/>
          <w:sz w:val="24"/>
          <w:szCs w:val="24"/>
          <w:lang w:val="en-GB"/>
        </w:rPr>
        <w:t>8</w:t>
      </w:r>
      <w:r>
        <w:rPr>
          <w:rFonts w:ascii="Arial" w:hAnsi="Arial"/>
          <w:sz w:val="24"/>
          <w:szCs w:val="24"/>
          <w:lang w:val="en-GB"/>
        </w:rPr>
        <w:t>, 345-371.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Barbas, H. &amp; Mesulam, M.M. (1985) Cortical afferent input to the principalis region of the rhesus monkey. </w:t>
      </w:r>
      <w:r>
        <w:rPr>
          <w:rFonts w:ascii="Arial" w:hAnsi="Arial"/>
          <w:i/>
          <w:sz w:val="24"/>
          <w:szCs w:val="24"/>
          <w:lang w:val="en-GB"/>
        </w:rPr>
        <w:t>Neuroscience</w:t>
      </w:r>
      <w:r>
        <w:rPr>
          <w:rFonts w:ascii="Arial" w:hAnsi="Arial"/>
          <w:sz w:val="24"/>
          <w:szCs w:val="24"/>
          <w:lang w:val="en-GB"/>
        </w:rPr>
        <w:t xml:space="preserve">, </w:t>
      </w:r>
      <w:r>
        <w:rPr>
          <w:rFonts w:ascii="Arial" w:hAnsi="Arial"/>
          <w:b/>
          <w:sz w:val="24"/>
          <w:szCs w:val="24"/>
          <w:lang w:val="en-GB"/>
        </w:rPr>
        <w:t>15</w:t>
      </w:r>
      <w:r>
        <w:rPr>
          <w:rFonts w:ascii="Arial" w:hAnsi="Arial"/>
          <w:sz w:val="24"/>
          <w:szCs w:val="24"/>
          <w:lang w:val="en-GB"/>
        </w:rPr>
        <w:t>, 619-637.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Boada, F.E., Shen, G.X., Chang, S.Y. &amp; Thulborn, K.R. (1997) Spectrally weighted twisted projection imaging: reducing T2 signal attenuation effects in fast three-dimensional sodium imaging. </w:t>
      </w:r>
      <w:r>
        <w:rPr>
          <w:rFonts w:ascii="Arial" w:hAnsi="Arial"/>
          <w:i/>
          <w:sz w:val="24"/>
          <w:szCs w:val="24"/>
          <w:lang w:val="en-GB"/>
        </w:rPr>
        <w:t>Magn Reson Med</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1022-1028.</w:t>
      </w: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Broadbent, D.E. (1957) A mechanical model for human attention and immediate memory. </w:t>
      </w:r>
      <w:r>
        <w:rPr>
          <w:rFonts w:ascii="Arial" w:hAnsi="Arial"/>
          <w:i/>
          <w:sz w:val="24"/>
          <w:szCs w:val="24"/>
          <w:lang w:val="en-GB"/>
        </w:rPr>
        <w:t>Psychol Rev</w:t>
      </w:r>
      <w:r>
        <w:rPr>
          <w:rFonts w:ascii="Arial" w:hAnsi="Arial"/>
          <w:sz w:val="24"/>
          <w:szCs w:val="24"/>
          <w:lang w:val="en-GB"/>
        </w:rPr>
        <w:t xml:space="preserve">, </w:t>
      </w:r>
      <w:r>
        <w:rPr>
          <w:rFonts w:ascii="Arial" w:hAnsi="Arial"/>
          <w:b/>
          <w:sz w:val="24"/>
          <w:szCs w:val="24"/>
          <w:lang w:val="en-GB"/>
        </w:rPr>
        <w:t>64</w:t>
      </w:r>
      <w:r>
        <w:rPr>
          <w:rFonts w:ascii="Arial" w:hAnsi="Arial"/>
          <w:sz w:val="24"/>
          <w:szCs w:val="24"/>
          <w:lang w:val="en-GB"/>
        </w:rPr>
        <w:t>, 205-215.</w:t>
      </w:r>
    </w:p>
    <w:p w:rsidR="00125F72" w:rsidRDefault="00125F72" w:rsidP="00EF5785">
      <w:pPr>
        <w:autoSpaceDE w:val="0"/>
        <w:autoSpaceDN w:val="0"/>
        <w:adjustRightInd w:val="0"/>
        <w:spacing w:line="240" w:lineRule="auto"/>
        <w:jc w:val="both"/>
        <w:rPr>
          <w:rFonts w:ascii="Arial" w:hAnsi="Arial"/>
          <w:sz w:val="24"/>
          <w:szCs w:val="24"/>
          <w:lang w:val="en-GB"/>
        </w:rPr>
      </w:pPr>
    </w:p>
    <w:p w:rsidR="00F73881"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Brown, V.J. &amp; Robbins, T.W. (1991) Simple and choice reaction time performance following unilateral striatal dopamine depletion in the rat. Impaired motor readiness but preserved response preparation. </w:t>
      </w:r>
      <w:r>
        <w:rPr>
          <w:rFonts w:ascii="Arial" w:hAnsi="Arial"/>
          <w:i/>
          <w:sz w:val="24"/>
          <w:szCs w:val="24"/>
          <w:lang w:val="en-GB"/>
        </w:rPr>
        <w:t>Brain</w:t>
      </w:r>
      <w:r>
        <w:rPr>
          <w:rFonts w:ascii="Arial" w:hAnsi="Arial"/>
          <w:sz w:val="24"/>
          <w:szCs w:val="24"/>
          <w:lang w:val="en-GB"/>
        </w:rPr>
        <w:t xml:space="preserve">, </w:t>
      </w:r>
      <w:r>
        <w:rPr>
          <w:rFonts w:ascii="Arial" w:hAnsi="Arial"/>
          <w:b/>
          <w:sz w:val="24"/>
          <w:szCs w:val="24"/>
          <w:lang w:val="en-GB"/>
        </w:rPr>
        <w:t>114 ( Pt 1B)</w:t>
      </w:r>
      <w:r>
        <w:rPr>
          <w:rFonts w:ascii="Arial" w:hAnsi="Arial"/>
          <w:sz w:val="24"/>
          <w:szCs w:val="24"/>
          <w:lang w:val="en-GB"/>
        </w:rPr>
        <w:t>, 513-525.</w:t>
      </w:r>
    </w:p>
    <w:p w:rsidR="00F73881" w:rsidRDefault="00F73881" w:rsidP="00EF5785">
      <w:pPr>
        <w:autoSpaceDE w:val="0"/>
        <w:autoSpaceDN w:val="0"/>
        <w:adjustRightInd w:val="0"/>
        <w:spacing w:line="240" w:lineRule="auto"/>
        <w:ind w:left="720" w:hanging="720"/>
        <w:jc w:val="both"/>
        <w:rPr>
          <w:rFonts w:ascii="Arial" w:hAnsi="Arial"/>
          <w:sz w:val="24"/>
          <w:szCs w:val="24"/>
          <w:lang w:val="en-GB"/>
        </w:rPr>
      </w:pPr>
    </w:p>
    <w:p w:rsidR="00125F72" w:rsidRPr="00F73881" w:rsidRDefault="00F73881" w:rsidP="00EF5785">
      <w:pPr>
        <w:autoSpaceDE w:val="0"/>
        <w:autoSpaceDN w:val="0"/>
        <w:adjustRightInd w:val="0"/>
        <w:spacing w:line="240" w:lineRule="auto"/>
        <w:ind w:left="720" w:hanging="720"/>
        <w:jc w:val="both"/>
        <w:rPr>
          <w:rFonts w:ascii="Arial" w:hAnsi="Arial"/>
          <w:sz w:val="24"/>
          <w:szCs w:val="24"/>
          <w:lang w:val="en-GB"/>
        </w:rPr>
      </w:pPr>
      <w:r w:rsidRPr="00F73881">
        <w:rPr>
          <w:rFonts w:ascii="Arial" w:hAnsi="Arial"/>
          <w:sz w:val="24"/>
          <w:szCs w:val="24"/>
          <w:lang w:val="en-GB"/>
        </w:rPr>
        <w:t>Buracas, G. T.</w:t>
      </w:r>
      <w:r>
        <w:rPr>
          <w:rFonts w:ascii="Arial" w:hAnsi="Arial"/>
          <w:sz w:val="24"/>
          <w:szCs w:val="24"/>
          <w:lang w:val="en-GB"/>
        </w:rPr>
        <w:t>,</w:t>
      </w:r>
      <w:r w:rsidRPr="00F73881">
        <w:rPr>
          <w:rFonts w:ascii="Arial" w:hAnsi="Arial"/>
          <w:sz w:val="24"/>
          <w:szCs w:val="24"/>
          <w:lang w:val="en-GB"/>
        </w:rPr>
        <w:t>Boynton, G. M.</w:t>
      </w:r>
      <w:r>
        <w:rPr>
          <w:rFonts w:ascii="Arial" w:hAnsi="Arial"/>
          <w:sz w:val="24"/>
          <w:szCs w:val="24"/>
          <w:lang w:val="en-GB"/>
        </w:rPr>
        <w:t xml:space="preserve"> (2007). </w:t>
      </w:r>
      <w:r w:rsidRPr="00F73881">
        <w:rPr>
          <w:rFonts w:ascii="Arial" w:hAnsi="Arial"/>
          <w:sz w:val="24"/>
          <w:szCs w:val="24"/>
          <w:lang w:val="en-GB"/>
        </w:rPr>
        <w:t>The Effect of Spatial Attention on Contrast Response Functions in Human Visual Cortex</w:t>
      </w:r>
      <w:r>
        <w:rPr>
          <w:rFonts w:ascii="Arial" w:hAnsi="Arial"/>
          <w:sz w:val="24"/>
          <w:szCs w:val="24"/>
          <w:lang w:val="en-GB"/>
        </w:rPr>
        <w:t xml:space="preserve">. </w:t>
      </w:r>
      <w:r>
        <w:rPr>
          <w:rFonts w:ascii="Arial" w:hAnsi="Arial"/>
          <w:i/>
          <w:sz w:val="24"/>
          <w:szCs w:val="24"/>
          <w:lang w:val="en-GB"/>
        </w:rPr>
        <w:t xml:space="preserve">J. of Neuroscience </w:t>
      </w:r>
      <w:r>
        <w:rPr>
          <w:rFonts w:ascii="Arial" w:hAnsi="Arial"/>
          <w:b/>
          <w:sz w:val="24"/>
          <w:szCs w:val="24"/>
          <w:lang w:val="en-GB"/>
        </w:rPr>
        <w:t xml:space="preserve">27 </w:t>
      </w:r>
      <w:r>
        <w:rPr>
          <w:rFonts w:ascii="Arial" w:hAnsi="Arial"/>
          <w:sz w:val="24"/>
          <w:szCs w:val="24"/>
          <w:lang w:val="en-GB"/>
        </w:rPr>
        <w:t>93-97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Bushnell, M.C., Goldberg, M.E. &amp; Robinson, D.L. (1981) Behavioral enhancement of visual responses in monkey cerebral cortex. I. Modulation in posterior parietal cortex related to selective visual attention.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46</w:t>
      </w:r>
      <w:r>
        <w:rPr>
          <w:rFonts w:ascii="Arial" w:hAnsi="Arial"/>
          <w:sz w:val="24"/>
          <w:szCs w:val="24"/>
          <w:lang w:val="en-GB"/>
        </w:rPr>
        <w:t>, 755-772.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Cavada, C. &amp; Goldman-Rakic, P.S. (1989) Posterior parietal cortex in rhesus monkey: I. Parcellation of areas based on distinctive limbic and sensory corticocortical connections.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287</w:t>
      </w:r>
      <w:r>
        <w:rPr>
          <w:rFonts w:ascii="Arial" w:hAnsi="Arial"/>
          <w:sz w:val="24"/>
          <w:szCs w:val="24"/>
          <w:lang w:val="en-GB"/>
        </w:rPr>
        <w:t>, 393-421.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Cavada, C. &amp; Goldman-Rakic, P.S. (1989) Posterior parietal cortex in rhesus monkey: II. Evidence for segregated corticocortical networks linking sensory and limbic areas with the frontal lobe.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287</w:t>
      </w:r>
      <w:r>
        <w:rPr>
          <w:rFonts w:ascii="Arial" w:hAnsi="Arial"/>
          <w:sz w:val="24"/>
          <w:szCs w:val="24"/>
          <w:lang w:val="en-GB"/>
        </w:rPr>
        <w:t>, 422-445.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outlineLvl w:val="0"/>
        <w:rPr>
          <w:rFonts w:ascii="Arial" w:hAnsi="Arial"/>
          <w:sz w:val="24"/>
          <w:szCs w:val="24"/>
          <w:lang w:val="en-GB"/>
        </w:rPr>
      </w:pPr>
      <w:r>
        <w:rPr>
          <w:rFonts w:ascii="Arial" w:hAnsi="Arial"/>
          <w:sz w:val="24"/>
          <w:szCs w:val="24"/>
          <w:lang w:val="en-GB"/>
        </w:rPr>
        <w:t xml:space="preserve">Cavanagh, P. (1995) Vision is getting easier every day. </w:t>
      </w:r>
      <w:r>
        <w:rPr>
          <w:rFonts w:ascii="Arial" w:hAnsi="Arial"/>
          <w:i/>
          <w:sz w:val="24"/>
          <w:szCs w:val="24"/>
          <w:lang w:val="en-GB"/>
        </w:rPr>
        <w:t>Perception</w:t>
      </w:r>
      <w:r>
        <w:rPr>
          <w:rFonts w:ascii="Arial" w:hAnsi="Arial"/>
          <w:sz w:val="24"/>
          <w:szCs w:val="24"/>
          <w:lang w:val="en-GB"/>
        </w:rPr>
        <w:t xml:space="preserve">, </w:t>
      </w:r>
      <w:r>
        <w:rPr>
          <w:rFonts w:ascii="Arial" w:hAnsi="Arial"/>
          <w:b/>
          <w:sz w:val="24"/>
          <w:szCs w:val="24"/>
          <w:lang w:val="en-GB"/>
        </w:rPr>
        <w:t>24</w:t>
      </w:r>
      <w:r>
        <w:rPr>
          <w:rFonts w:ascii="Arial" w:hAnsi="Arial"/>
          <w:sz w:val="24"/>
          <w:szCs w:val="24"/>
          <w:lang w:val="en-GB"/>
        </w:rPr>
        <w:t>, 1227-1232.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Chelazzi, L., Miller, E.K., Duncan, J. &amp; Desimone, R. (1993) A neural basis for visual search in inferior temporal cortex.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363</w:t>
      </w:r>
      <w:r>
        <w:rPr>
          <w:rFonts w:ascii="Arial" w:hAnsi="Arial"/>
          <w:sz w:val="24"/>
          <w:szCs w:val="24"/>
          <w:lang w:val="en-GB"/>
        </w:rPr>
        <w:t>, 345-347.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Cole, B.J. &amp; Robbins, T.W. (1989) Effects of 6-hydroxydopamine lesions of the nucleus accumbens septi on performance of a 5-choice serial reaction time task in rats: implications for theories of selective attention and arousal. </w:t>
      </w:r>
      <w:r>
        <w:rPr>
          <w:rFonts w:ascii="Arial" w:hAnsi="Arial"/>
          <w:i/>
          <w:sz w:val="24"/>
          <w:szCs w:val="24"/>
          <w:lang w:val="en-GB"/>
        </w:rPr>
        <w:t>Behav Brain Res</w:t>
      </w:r>
      <w:r>
        <w:rPr>
          <w:rFonts w:ascii="Arial" w:hAnsi="Arial"/>
          <w:sz w:val="24"/>
          <w:szCs w:val="24"/>
          <w:lang w:val="en-GB"/>
        </w:rPr>
        <w:t xml:space="preserve">, </w:t>
      </w:r>
      <w:r>
        <w:rPr>
          <w:rFonts w:ascii="Arial" w:hAnsi="Arial"/>
          <w:b/>
          <w:sz w:val="24"/>
          <w:szCs w:val="24"/>
          <w:lang w:val="en-GB"/>
        </w:rPr>
        <w:t>33</w:t>
      </w:r>
      <w:r>
        <w:rPr>
          <w:rFonts w:ascii="Arial" w:hAnsi="Arial"/>
          <w:sz w:val="24"/>
          <w:szCs w:val="24"/>
          <w:lang w:val="en-GB"/>
        </w:rPr>
        <w:t>, 165-179.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Corbetta, M. &amp; Shulman, G.L. (2002) Control of goal-directed and stimulus-driven attention in the brain. </w:t>
      </w:r>
      <w:r>
        <w:rPr>
          <w:rFonts w:ascii="Arial" w:hAnsi="Arial"/>
          <w:i/>
          <w:sz w:val="24"/>
          <w:szCs w:val="24"/>
          <w:lang w:val="en-GB"/>
        </w:rPr>
        <w:t>Nat Rev Neurosci</w:t>
      </w:r>
      <w:r>
        <w:rPr>
          <w:rFonts w:ascii="Arial" w:hAnsi="Arial"/>
          <w:sz w:val="24"/>
          <w:szCs w:val="24"/>
          <w:lang w:val="en-GB"/>
        </w:rPr>
        <w:t xml:space="preserve">, </w:t>
      </w:r>
      <w:r>
        <w:rPr>
          <w:rFonts w:ascii="Arial" w:hAnsi="Arial"/>
          <w:b/>
          <w:sz w:val="24"/>
          <w:szCs w:val="24"/>
          <w:lang w:val="en-GB"/>
        </w:rPr>
        <w:t>3</w:t>
      </w:r>
      <w:r>
        <w:rPr>
          <w:rFonts w:ascii="Arial" w:hAnsi="Arial"/>
          <w:sz w:val="24"/>
          <w:szCs w:val="24"/>
          <w:lang w:val="en-GB"/>
        </w:rPr>
        <w:t>, 201-215.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Crist, R.E., Kapadia, M.K., Westheimer, G. &amp; Gilbert, C.D. (1997) Perceptual learning of spatial localization: specificity for orientation, position, and context.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78</w:t>
      </w:r>
      <w:r>
        <w:rPr>
          <w:rFonts w:ascii="Arial" w:hAnsi="Arial"/>
          <w:sz w:val="24"/>
          <w:szCs w:val="24"/>
          <w:lang w:val="en-GB"/>
        </w:rPr>
        <w:t>, 2889-2894.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Crist, R.E., Li, W. &amp; Gilbert, C.D. (2001) Learning to see: experience and attention in primary visual cortex. </w:t>
      </w:r>
      <w:r>
        <w:rPr>
          <w:rFonts w:ascii="Arial" w:hAnsi="Arial"/>
          <w:i/>
          <w:sz w:val="24"/>
          <w:szCs w:val="24"/>
          <w:lang w:val="en-GB"/>
        </w:rPr>
        <w:t>Nat Neurosci</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519-525.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Deichmann, R., Schwarzbauer, C. &amp; Turner, R. (2004) Optimisation of the 3D MDEFT sequence for anatomical brain imaging: technical implications at 1.5 and 3 T.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21</w:t>
      </w:r>
      <w:r>
        <w:rPr>
          <w:rFonts w:ascii="Arial" w:hAnsi="Arial"/>
          <w:sz w:val="24"/>
          <w:szCs w:val="24"/>
          <w:lang w:val="en-GB"/>
        </w:rPr>
        <w:t>, 757-767.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Desimone, R. &amp; Duncan, J. (1995) Neural mechanisms of selective visual attention.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18</w:t>
      </w:r>
      <w:r>
        <w:rPr>
          <w:rFonts w:ascii="Arial" w:hAnsi="Arial"/>
          <w:sz w:val="24"/>
          <w:szCs w:val="24"/>
          <w:lang w:val="en-GB"/>
        </w:rPr>
        <w:t>, 193-222.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Deubel, H. &amp; Schneider, W.X. (1996) Saccade target selection and object recognition: evidence for a common attentional mechanism.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36</w:t>
      </w:r>
      <w:r>
        <w:rPr>
          <w:rFonts w:ascii="Arial" w:hAnsi="Arial"/>
          <w:sz w:val="24"/>
          <w:szCs w:val="24"/>
          <w:lang w:val="en-GB"/>
        </w:rPr>
        <w:t>, 1827-1837.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Engbert, R. &amp; Kliegl, R. (2003) Microsaccades uncover the orientation of covert attention.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43</w:t>
      </w:r>
      <w:r>
        <w:rPr>
          <w:rFonts w:ascii="Arial" w:hAnsi="Arial"/>
          <w:sz w:val="24"/>
          <w:szCs w:val="24"/>
          <w:lang w:val="en-GB"/>
        </w:rPr>
        <w:t>, 1035-1045.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Engel, S.A., Rumelhart, D.E., Wandell, B.A., Lee, A.T., Glover, G.H., Chichilnisky, E.J. &amp; Shadlen, M.N. (1994) fMRI of human visual cortex.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369</w:t>
      </w:r>
      <w:r>
        <w:rPr>
          <w:rFonts w:ascii="Arial" w:hAnsi="Arial"/>
          <w:sz w:val="24"/>
          <w:szCs w:val="24"/>
          <w:lang w:val="en-GB"/>
        </w:rPr>
        <w:t>, 525.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outlineLvl w:val="0"/>
        <w:rPr>
          <w:rFonts w:ascii="Arial" w:hAnsi="Arial"/>
          <w:sz w:val="24"/>
          <w:szCs w:val="24"/>
          <w:lang w:val="en-GB"/>
        </w:rPr>
      </w:pPr>
      <w:r>
        <w:rPr>
          <w:rFonts w:ascii="Arial" w:hAnsi="Arial"/>
          <w:sz w:val="24"/>
          <w:szCs w:val="24"/>
          <w:lang w:val="en-GB"/>
        </w:rPr>
        <w:t xml:space="preserve">Fahle, M. (2004) Perceptual learning: a case for early selection. </w:t>
      </w:r>
      <w:r>
        <w:rPr>
          <w:rFonts w:ascii="Arial" w:hAnsi="Arial"/>
          <w:i/>
          <w:sz w:val="24"/>
          <w:szCs w:val="24"/>
          <w:lang w:val="en-GB"/>
        </w:rPr>
        <w:t>J Vis</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879-890.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Fahle, M., Edelman, S. &amp; Poggio, T. (1995) Fast perceptual learning in hyperacuity.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35</w:t>
      </w:r>
      <w:r>
        <w:rPr>
          <w:rFonts w:ascii="Arial" w:hAnsi="Arial"/>
          <w:sz w:val="24"/>
          <w:szCs w:val="24"/>
          <w:lang w:val="en-GB"/>
        </w:rPr>
        <w:t>, 3003-3013.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Fiorentini, A. &amp; Berardi, N. (1980) Perceptual learning specific for orientation and spatial frequency.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287</w:t>
      </w:r>
      <w:r>
        <w:rPr>
          <w:rFonts w:ascii="Arial" w:hAnsi="Arial"/>
          <w:sz w:val="24"/>
          <w:szCs w:val="24"/>
          <w:lang w:val="en-GB"/>
        </w:rPr>
        <w:t>, 43-44.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Fiorentini, A. &amp; Berardi, N. (1981) Learning in grating waveform discrimination: specificity for orientation and spatial frequency.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21</w:t>
      </w:r>
      <w:r>
        <w:rPr>
          <w:rFonts w:ascii="Arial" w:hAnsi="Arial"/>
          <w:sz w:val="24"/>
          <w:szCs w:val="24"/>
          <w:lang w:val="en-GB"/>
        </w:rPr>
        <w:t>, 1149-1158.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Furmanski, C.S., Schluppeck, D. &amp; Engel, S.A. (2004) Learning strengthens the response of primary visual cortex to simple patterns. </w:t>
      </w:r>
      <w:r>
        <w:rPr>
          <w:rFonts w:ascii="Arial" w:hAnsi="Arial"/>
          <w:i/>
          <w:sz w:val="24"/>
          <w:szCs w:val="24"/>
          <w:lang w:val="en-GB"/>
        </w:rPr>
        <w:t>Curr Biol</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573-578.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Ghose, G.M. (2004) Learning in mammalian sensory cortex. </w:t>
      </w:r>
      <w:r>
        <w:rPr>
          <w:rFonts w:ascii="Arial" w:hAnsi="Arial"/>
          <w:i/>
          <w:sz w:val="24"/>
          <w:szCs w:val="24"/>
          <w:lang w:val="en-GB"/>
        </w:rPr>
        <w:t>Curr Opin Neurobiol</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513-518.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Ghose, G.M., Yang, T. &amp; Maunsell, J.H. (2002) Physiological correlates of perceptual learning in monkey V1 and V2.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87</w:t>
      </w:r>
      <w:r>
        <w:rPr>
          <w:rFonts w:ascii="Arial" w:hAnsi="Arial"/>
          <w:sz w:val="24"/>
          <w:szCs w:val="24"/>
          <w:lang w:val="en-GB"/>
        </w:rPr>
        <w:t>, 1867-1888.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Giesbrecht, B., Weissman, D.H., Woldorff, M.G. &amp; Mangun, G.R. (2006) Pre-target activity in visual cortex predicts behavioral performance on spatial and feature attention tasks. </w:t>
      </w:r>
      <w:r>
        <w:rPr>
          <w:rFonts w:ascii="Arial" w:hAnsi="Arial"/>
          <w:i/>
          <w:sz w:val="24"/>
          <w:szCs w:val="24"/>
          <w:lang w:val="en-GB"/>
        </w:rPr>
        <w:t>Brain Res</w:t>
      </w:r>
      <w:r>
        <w:rPr>
          <w:rFonts w:ascii="Arial" w:hAnsi="Arial"/>
          <w:sz w:val="24"/>
          <w:szCs w:val="24"/>
          <w:lang w:val="en-GB"/>
        </w:rPr>
        <w:t xml:space="preserve">, </w:t>
      </w:r>
      <w:r>
        <w:rPr>
          <w:rFonts w:ascii="Arial" w:hAnsi="Arial"/>
          <w:b/>
          <w:sz w:val="24"/>
          <w:szCs w:val="24"/>
          <w:lang w:val="en-GB"/>
        </w:rPr>
        <w:t>1080</w:t>
      </w:r>
      <w:r>
        <w:rPr>
          <w:rFonts w:ascii="Arial" w:hAnsi="Arial"/>
          <w:sz w:val="24"/>
          <w:szCs w:val="24"/>
          <w:lang w:val="en-GB"/>
        </w:rPr>
        <w:t>, 63-72.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Gilbert, C.D., Sigman, M. &amp; Crist, R.E. (2001) The neural basis of perceptual learning.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31</w:t>
      </w:r>
      <w:r>
        <w:rPr>
          <w:rFonts w:ascii="Arial" w:hAnsi="Arial"/>
          <w:sz w:val="24"/>
          <w:szCs w:val="24"/>
          <w:lang w:val="en-GB"/>
        </w:rPr>
        <w:t>, 681-697.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Goldberg, M.E. &amp; Bushnell, M.C. (1981) Behavioral enhancement of visual responses in monkey cerebral cortex. II. Modulation in frontal eye fields specifically related to saccades.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46</w:t>
      </w:r>
      <w:r>
        <w:rPr>
          <w:rFonts w:ascii="Arial" w:hAnsi="Arial"/>
          <w:sz w:val="24"/>
          <w:szCs w:val="24"/>
          <w:lang w:val="en-GB"/>
        </w:rPr>
        <w:t>, 773-787.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Goldberg, M.E. &amp; Wurtz, R.H. (1972) Activity of superior colliculus in behaving monkey. II. Effect of attention on neuronal responses.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35</w:t>
      </w:r>
      <w:r>
        <w:rPr>
          <w:rFonts w:ascii="Arial" w:hAnsi="Arial"/>
          <w:sz w:val="24"/>
          <w:szCs w:val="24"/>
          <w:lang w:val="en-GB"/>
        </w:rPr>
        <w:t>, 560-574.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Hagberg, G.E., Zito, G., Patria, F. &amp; Sanes, J.N. (2001) Improved detection of event-related functional MRI signals using probability functions.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1193-1205.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Harley, C.W. (1987) A role for norepinephrine in arousal, emotion and learning?: limbic modulation by norepinephrine and the Kety hypothesis. </w:t>
      </w:r>
      <w:r>
        <w:rPr>
          <w:rFonts w:ascii="Arial" w:hAnsi="Arial"/>
          <w:i/>
          <w:sz w:val="24"/>
          <w:szCs w:val="24"/>
          <w:lang w:val="en-GB"/>
        </w:rPr>
        <w:t>Prog Neuropsychopharmacol Biol Psychiatry</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419-458.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Hawkins, H.L., Hillyard, S.A., Luck, S.J., Mouloua, M., Downing, C.J. &amp; Woodward, D.P. (1990) Visual attention modulates signal detectability. </w:t>
      </w:r>
      <w:r>
        <w:rPr>
          <w:rFonts w:ascii="Arial" w:hAnsi="Arial"/>
          <w:i/>
          <w:sz w:val="24"/>
          <w:szCs w:val="24"/>
          <w:lang w:val="en-GB"/>
        </w:rPr>
        <w:t>J Exp Psychol Hum Percept Perform</w:t>
      </w:r>
      <w:r>
        <w:rPr>
          <w:rFonts w:ascii="Arial" w:hAnsi="Arial"/>
          <w:sz w:val="24"/>
          <w:szCs w:val="24"/>
          <w:lang w:val="en-GB"/>
        </w:rPr>
        <w:t xml:space="preserve">, </w:t>
      </w:r>
      <w:r>
        <w:rPr>
          <w:rFonts w:ascii="Arial" w:hAnsi="Arial"/>
          <w:b/>
          <w:sz w:val="24"/>
          <w:szCs w:val="24"/>
          <w:lang w:val="en-GB"/>
        </w:rPr>
        <w:t>16</w:t>
      </w:r>
      <w:r>
        <w:rPr>
          <w:rFonts w:ascii="Arial" w:hAnsi="Arial"/>
          <w:sz w:val="24"/>
          <w:szCs w:val="24"/>
          <w:lang w:val="en-GB"/>
        </w:rPr>
        <w:t>, 802-811.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He, Z.J. &amp; Nakayama, K. (1992) Surfaces versus features in visual search.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359</w:t>
      </w:r>
      <w:r>
        <w:rPr>
          <w:rFonts w:ascii="Arial" w:hAnsi="Arial"/>
          <w:sz w:val="24"/>
          <w:szCs w:val="24"/>
          <w:lang w:val="en-GB"/>
        </w:rPr>
        <w:t>, 231-233.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Heinze, H.J., Luck, S.J., Munte, T.F., Gos, A., Mangun, G.R. &amp; Hillyard, S.A. (1994) Attention to adjacent and separate positions in space: an electrophysiological analysis.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56</w:t>
      </w:r>
      <w:r>
        <w:rPr>
          <w:rFonts w:ascii="Arial" w:hAnsi="Arial"/>
          <w:sz w:val="24"/>
          <w:szCs w:val="24"/>
          <w:lang w:val="en-GB"/>
        </w:rPr>
        <w:t>, 42-52.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Heinze, H.J., Mangun, G.R., Burchert, W., Hinrichs, H., Scholz, M., Munte, T.F., Gos, A., Scherg, M., Johannes, S., Hundeshagen, H. &amp; et al. (1994) Combined spatial and temporal imaging of brain activity during visual selective attention in humans.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372</w:t>
      </w:r>
      <w:r>
        <w:rPr>
          <w:rFonts w:ascii="Arial" w:hAnsi="Arial"/>
          <w:sz w:val="24"/>
          <w:szCs w:val="24"/>
          <w:lang w:val="en-GB"/>
        </w:rPr>
        <w:t>, 543-546.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Hier, D.B., Davis, K.R., Richardson, E.P., Jr. &amp; Mohr, J.P. (1977) Hypertensive putaminal hemorrhage. </w:t>
      </w:r>
      <w:r>
        <w:rPr>
          <w:rFonts w:ascii="Arial" w:hAnsi="Arial"/>
          <w:i/>
          <w:sz w:val="24"/>
          <w:szCs w:val="24"/>
          <w:lang w:val="en-GB"/>
        </w:rPr>
        <w:t>Ann Neurol</w:t>
      </w:r>
      <w:r>
        <w:rPr>
          <w:rFonts w:ascii="Arial" w:hAnsi="Arial"/>
          <w:sz w:val="24"/>
          <w:szCs w:val="24"/>
          <w:lang w:val="en-GB"/>
        </w:rPr>
        <w:t xml:space="preserve">, </w:t>
      </w:r>
      <w:r>
        <w:rPr>
          <w:rFonts w:ascii="Arial" w:hAnsi="Arial"/>
          <w:b/>
          <w:sz w:val="24"/>
          <w:szCs w:val="24"/>
          <w:lang w:val="en-GB"/>
        </w:rPr>
        <w:t>1</w:t>
      </w:r>
      <w:r>
        <w:rPr>
          <w:rFonts w:ascii="Arial" w:hAnsi="Arial"/>
          <w:sz w:val="24"/>
          <w:szCs w:val="24"/>
          <w:lang w:val="en-GB"/>
        </w:rPr>
        <w:t>, 152-159.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Hillyard, S.A., Hink, R.F., Schwent, V.L. &amp; Picton, T.W. (1973) Electrical signs of selective attention in the human brain.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182</w:t>
      </w:r>
      <w:r>
        <w:rPr>
          <w:rFonts w:ascii="Arial" w:hAnsi="Arial"/>
          <w:sz w:val="24"/>
          <w:szCs w:val="24"/>
          <w:lang w:val="en-GB"/>
        </w:rPr>
        <w:t>, 177-180.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Howard, J.H., Jr., O'Toole, A.J., Parasuraman, R. &amp; Bennett, K.B. (1984) Pattern-directed attention in uncertain-frequency detection.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35</w:t>
      </w:r>
      <w:r>
        <w:rPr>
          <w:rFonts w:ascii="Arial" w:hAnsi="Arial"/>
          <w:sz w:val="24"/>
          <w:szCs w:val="24"/>
          <w:lang w:val="en-GB"/>
        </w:rPr>
        <w:t>, 256-264.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Huerta, M.F. &amp; Kaas, J.H. (1990) Supplementary eye field as defined by intracortical microstimulation: connections in macaques.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293</w:t>
      </w:r>
      <w:r>
        <w:rPr>
          <w:rFonts w:ascii="Arial" w:hAnsi="Arial"/>
          <w:sz w:val="24"/>
          <w:szCs w:val="24"/>
          <w:lang w:val="en-GB"/>
        </w:rPr>
        <w:t>, 299-330.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Huerta, M.F., Krubitzer, L.A. &amp; Kaas, J.H. (1986) Frontal eye field as defined by intracortical microstimulation in squirrel monkeys, owl monkeys, and macaque monkeys: I. Subcortical connections.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253</w:t>
      </w:r>
      <w:r>
        <w:rPr>
          <w:rFonts w:ascii="Arial" w:hAnsi="Arial"/>
          <w:sz w:val="24"/>
          <w:szCs w:val="24"/>
          <w:lang w:val="en-GB"/>
        </w:rPr>
        <w:t>, 415-439.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Huerta, M.F., Krubitzer, L.A. &amp; Kaas, J.H. (1987) Frontal eye field as defined by intracortical microstimulation in squirrel monkeys, owl monkeys, and macaque monkeys. II. Cortical connections.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265</w:t>
      </w:r>
      <w:r>
        <w:rPr>
          <w:rFonts w:ascii="Arial" w:hAnsi="Arial"/>
          <w:sz w:val="24"/>
          <w:szCs w:val="24"/>
          <w:lang w:val="en-GB"/>
        </w:rPr>
        <w:t>, 332-361.</w:t>
      </w: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Humphreys, M.S. &amp; Revelle, W. (1984) Personality, motivation, and performance: a theory of the relationship between individual differences and information processing. </w:t>
      </w:r>
      <w:r>
        <w:rPr>
          <w:rFonts w:ascii="Arial" w:hAnsi="Arial"/>
          <w:i/>
          <w:sz w:val="24"/>
          <w:szCs w:val="24"/>
          <w:lang w:val="en-GB"/>
        </w:rPr>
        <w:t>Psychol Rev</w:t>
      </w:r>
      <w:r>
        <w:rPr>
          <w:rFonts w:ascii="Arial" w:hAnsi="Arial"/>
          <w:sz w:val="24"/>
          <w:szCs w:val="24"/>
          <w:lang w:val="en-GB"/>
        </w:rPr>
        <w:t xml:space="preserve">, </w:t>
      </w:r>
      <w:r>
        <w:rPr>
          <w:rFonts w:ascii="Arial" w:hAnsi="Arial"/>
          <w:b/>
          <w:sz w:val="24"/>
          <w:szCs w:val="24"/>
          <w:lang w:val="en-GB"/>
        </w:rPr>
        <w:t>91</w:t>
      </w:r>
      <w:r>
        <w:rPr>
          <w:rFonts w:ascii="Arial" w:hAnsi="Arial"/>
          <w:sz w:val="24"/>
          <w:szCs w:val="24"/>
          <w:lang w:val="en-GB"/>
        </w:rPr>
        <w:t>, 153-184.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Hussain, Z., Sekuler, A.B. &amp; Bennett, P.J. (2009) How much practice is needed to produce perceptual learning?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49</w:t>
      </w:r>
      <w:r>
        <w:rPr>
          <w:rFonts w:ascii="Arial" w:hAnsi="Arial"/>
          <w:sz w:val="24"/>
          <w:szCs w:val="24"/>
          <w:lang w:val="en-GB"/>
        </w:rPr>
        <w:t>, 2624-2634.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Ito, M., Westheimer, G. &amp; Gilbert, C.D. (1998) Attention and perceptual learning modulate contextual influences on visual perception.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20</w:t>
      </w:r>
      <w:r>
        <w:rPr>
          <w:rFonts w:ascii="Arial" w:hAnsi="Arial"/>
          <w:sz w:val="24"/>
          <w:szCs w:val="24"/>
          <w:lang w:val="en-GB"/>
        </w:rPr>
        <w:t>, 1191-1197.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Jones, D.N., Barnes, J.C., Kirkby, D.L. &amp; Higgins, G.A. (1995) Age-associated impairments in a test of attention: evidence for involvement of cholinergic systems.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15</w:t>
      </w:r>
      <w:r>
        <w:rPr>
          <w:rFonts w:ascii="Arial" w:hAnsi="Arial"/>
          <w:sz w:val="24"/>
          <w:szCs w:val="24"/>
          <w:lang w:val="en-GB"/>
        </w:rPr>
        <w:t>, 7282-7292.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Jones, E.G. &amp; Powell, T.P. (1970) An anatomical study of converging sensory pathways within the cerebral cortex of the monkey. </w:t>
      </w:r>
      <w:r>
        <w:rPr>
          <w:rFonts w:ascii="Arial" w:hAnsi="Arial"/>
          <w:i/>
          <w:sz w:val="24"/>
          <w:szCs w:val="24"/>
          <w:lang w:val="en-GB"/>
        </w:rPr>
        <w:t>Brain</w:t>
      </w:r>
      <w:r>
        <w:rPr>
          <w:rFonts w:ascii="Arial" w:hAnsi="Arial"/>
          <w:sz w:val="24"/>
          <w:szCs w:val="24"/>
          <w:lang w:val="en-GB"/>
        </w:rPr>
        <w:t xml:space="preserve">, </w:t>
      </w:r>
      <w:r>
        <w:rPr>
          <w:rFonts w:ascii="Arial" w:hAnsi="Arial"/>
          <w:b/>
          <w:sz w:val="24"/>
          <w:szCs w:val="24"/>
          <w:lang w:val="en-GB"/>
        </w:rPr>
        <w:t>93</w:t>
      </w:r>
      <w:r>
        <w:rPr>
          <w:rFonts w:ascii="Arial" w:hAnsi="Arial"/>
          <w:sz w:val="24"/>
          <w:szCs w:val="24"/>
          <w:lang w:val="en-GB"/>
        </w:rPr>
        <w:t>, 793-820.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Karni, A. (1996) The acquisition of perceptual and motor skills: a memory system in the adult human cortex. </w:t>
      </w:r>
      <w:r>
        <w:rPr>
          <w:rFonts w:ascii="Arial" w:hAnsi="Arial"/>
          <w:i/>
          <w:sz w:val="24"/>
          <w:szCs w:val="24"/>
          <w:lang w:val="en-GB"/>
        </w:rPr>
        <w:t>Brain Res Cogn Brain Res</w:t>
      </w:r>
      <w:r>
        <w:rPr>
          <w:rFonts w:ascii="Arial" w:hAnsi="Arial"/>
          <w:sz w:val="24"/>
          <w:szCs w:val="24"/>
          <w:lang w:val="en-GB"/>
        </w:rPr>
        <w:t xml:space="preserve">, </w:t>
      </w:r>
      <w:r>
        <w:rPr>
          <w:rFonts w:ascii="Arial" w:hAnsi="Arial"/>
          <w:b/>
          <w:sz w:val="24"/>
          <w:szCs w:val="24"/>
          <w:lang w:val="en-GB"/>
        </w:rPr>
        <w:t>5</w:t>
      </w:r>
      <w:r>
        <w:rPr>
          <w:rFonts w:ascii="Arial" w:hAnsi="Arial"/>
          <w:sz w:val="24"/>
          <w:szCs w:val="24"/>
          <w:lang w:val="en-GB"/>
        </w:rPr>
        <w:t>, 39-48.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Karni, A. &amp; Sagi, D. (1991) Where practice makes perfect in texture discrimination: evidence for primary visual cortex plasticity.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88</w:t>
      </w:r>
      <w:r>
        <w:rPr>
          <w:rFonts w:ascii="Arial" w:hAnsi="Arial"/>
          <w:sz w:val="24"/>
          <w:szCs w:val="24"/>
          <w:lang w:val="en-GB"/>
        </w:rPr>
        <w:t>, 4966-4970.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Kastner, S., Pinsk, M.A., De Weerd, P., Desimone, R. &amp; Ungerleider, L.G. (1999) Increased activity in human visual cortex during directed attention in the absence of visual stimulation.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22</w:t>
      </w:r>
      <w:r>
        <w:rPr>
          <w:rFonts w:ascii="Arial" w:hAnsi="Arial"/>
          <w:sz w:val="24"/>
          <w:szCs w:val="24"/>
          <w:lang w:val="en-GB"/>
        </w:rPr>
        <w:t>, 751-761.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Kastner, S. &amp; Ungerleider, L.G. (2001) The neural basis of biased competition in human visual cortex. </w:t>
      </w:r>
      <w:r>
        <w:rPr>
          <w:rFonts w:ascii="Arial" w:hAnsi="Arial"/>
          <w:i/>
          <w:sz w:val="24"/>
          <w:szCs w:val="24"/>
          <w:lang w:val="en-GB"/>
        </w:rPr>
        <w:t>Neuropsychologia</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1263-1276.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Kinomura, S., Larsson, J., Gulyas, B. &amp; Roland, P.E. (1996) Activation by attention of the human reticular formation and thalamic intralaminar nuclei.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271</w:t>
      </w:r>
      <w:r>
        <w:rPr>
          <w:rFonts w:ascii="Arial" w:hAnsi="Arial"/>
          <w:sz w:val="24"/>
          <w:szCs w:val="24"/>
          <w:lang w:val="en-GB"/>
        </w:rPr>
        <w:t>, 512-515.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Lewis, C.M., Baldassarre, A., Committeri, G., Romani, G.L. &amp; Corbetta, M. (2009) Learning sculpts the spontaneous activity of the resting human brain.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106</w:t>
      </w:r>
      <w:r>
        <w:rPr>
          <w:rFonts w:ascii="Arial" w:hAnsi="Arial"/>
          <w:sz w:val="24"/>
          <w:szCs w:val="24"/>
          <w:lang w:val="en-GB"/>
        </w:rPr>
        <w:t>, 17558-17563.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Luck, S.J., Chelazzi, L., Hillyard, S.A. &amp; Desimone, R. (1997) Neural mechanisms of spatial selective attention in areas V1, V2, and V4 of macaque visual cortex.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77</w:t>
      </w:r>
      <w:r>
        <w:rPr>
          <w:rFonts w:ascii="Arial" w:hAnsi="Arial"/>
          <w:sz w:val="24"/>
          <w:szCs w:val="24"/>
          <w:lang w:val="en-GB"/>
        </w:rPr>
        <w:t>, 24-42.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Luks, T.L. &amp; Simpson, G.V. (2004) Preparatory deployment of attention to motion activates higher-order motion-processing brain regions.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22</w:t>
      </w:r>
      <w:r>
        <w:rPr>
          <w:rFonts w:ascii="Arial" w:hAnsi="Arial"/>
          <w:sz w:val="24"/>
          <w:szCs w:val="24"/>
          <w:lang w:val="en-GB"/>
        </w:rPr>
        <w:t>, 1515-1522.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Lynch, J.C., Mountcastle, V.B., Talbot, W.H. &amp; Yin, T.C. (1977) Parietal lobe mechanisms for directed visual attention.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40</w:t>
      </w:r>
      <w:r>
        <w:rPr>
          <w:rFonts w:ascii="Arial" w:hAnsi="Arial"/>
          <w:sz w:val="24"/>
          <w:szCs w:val="24"/>
          <w:lang w:val="en-GB"/>
        </w:rPr>
        <w:t>, 362-389.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Lynch, J.C., Mountcastle, V.B., Talbot, W.H. &amp; Yin, T.C. (1977) Parietal lobe mechanisms for directed visual attention.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40</w:t>
      </w:r>
      <w:r>
        <w:rPr>
          <w:rFonts w:ascii="Arial" w:hAnsi="Arial"/>
          <w:sz w:val="24"/>
          <w:szCs w:val="24"/>
          <w:lang w:val="en-GB"/>
        </w:rPr>
        <w:t>, 362-389.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Maertens, M. &amp; Pollmann, S. (2005) fMRI reveals a common neural substrate of illusory and real contours in V1 after perceptual learning. </w:t>
      </w:r>
      <w:r>
        <w:rPr>
          <w:rFonts w:ascii="Arial" w:hAnsi="Arial"/>
          <w:i/>
          <w:sz w:val="24"/>
          <w:szCs w:val="24"/>
          <w:lang w:val="en-GB"/>
        </w:rPr>
        <w:t>J Cogn Neurosci</w:t>
      </w:r>
      <w:r>
        <w:rPr>
          <w:rFonts w:ascii="Arial" w:hAnsi="Arial"/>
          <w:sz w:val="24"/>
          <w:szCs w:val="24"/>
          <w:lang w:val="en-GB"/>
        </w:rPr>
        <w:t xml:space="preserve">, </w:t>
      </w:r>
      <w:r>
        <w:rPr>
          <w:rFonts w:ascii="Arial" w:hAnsi="Arial"/>
          <w:b/>
          <w:sz w:val="24"/>
          <w:szCs w:val="24"/>
          <w:lang w:val="en-GB"/>
        </w:rPr>
        <w:t>17</w:t>
      </w:r>
      <w:r>
        <w:rPr>
          <w:rFonts w:ascii="Arial" w:hAnsi="Arial"/>
          <w:sz w:val="24"/>
          <w:szCs w:val="24"/>
          <w:lang w:val="en-GB"/>
        </w:rPr>
        <w:t>, 1553-1564.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Marrocco, R.T., Witte, E.A. &amp; Davidson, M.C. (1994) Arousal systems. </w:t>
      </w:r>
      <w:r>
        <w:rPr>
          <w:rFonts w:ascii="Arial" w:hAnsi="Arial"/>
          <w:i/>
          <w:sz w:val="24"/>
          <w:szCs w:val="24"/>
          <w:lang w:val="en-GB"/>
        </w:rPr>
        <w:t>Curr Opin Neurobiol</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166-170.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Maunsell, J.H. &amp; Treue, S. (2006) Feature-based attention in visual cortex. </w:t>
      </w:r>
      <w:r>
        <w:rPr>
          <w:rFonts w:ascii="Arial" w:hAnsi="Arial"/>
          <w:i/>
          <w:sz w:val="24"/>
          <w:szCs w:val="24"/>
          <w:lang w:val="en-GB"/>
        </w:rPr>
        <w:t>Trends Neurosci</w:t>
      </w:r>
      <w:r>
        <w:rPr>
          <w:rFonts w:ascii="Arial" w:hAnsi="Arial"/>
          <w:sz w:val="24"/>
          <w:szCs w:val="24"/>
          <w:lang w:val="en-GB"/>
        </w:rPr>
        <w:t xml:space="preserve">, </w:t>
      </w:r>
      <w:r>
        <w:rPr>
          <w:rFonts w:ascii="Arial" w:hAnsi="Arial"/>
          <w:b/>
          <w:sz w:val="24"/>
          <w:szCs w:val="24"/>
          <w:lang w:val="en-GB"/>
        </w:rPr>
        <w:t>29</w:t>
      </w:r>
      <w:r>
        <w:rPr>
          <w:rFonts w:ascii="Arial" w:hAnsi="Arial"/>
          <w:sz w:val="24"/>
          <w:szCs w:val="24"/>
          <w:lang w:val="en-GB"/>
        </w:rPr>
        <w:t>, 317-322.</w:t>
      </w:r>
    </w:p>
    <w:p w:rsidR="00125F72" w:rsidRDefault="00125F72" w:rsidP="00EF5785">
      <w:pPr>
        <w:autoSpaceDE w:val="0"/>
        <w:autoSpaceDN w:val="0"/>
        <w:adjustRightInd w:val="0"/>
        <w:spacing w:line="240" w:lineRule="auto"/>
        <w:jc w:val="both"/>
        <w:rPr>
          <w:rFonts w:ascii="Arial" w:hAnsi="Arial"/>
          <w:sz w:val="24"/>
          <w:szCs w:val="24"/>
          <w:lang w:val="en-GB"/>
        </w:rPr>
      </w:pPr>
    </w:p>
    <w:p w:rsidR="00F10596" w:rsidRDefault="00F10596" w:rsidP="00EF5785">
      <w:pPr>
        <w:autoSpaceDE w:val="0"/>
        <w:autoSpaceDN w:val="0"/>
        <w:adjustRightInd w:val="0"/>
        <w:spacing w:line="240" w:lineRule="auto"/>
        <w:ind w:left="720" w:hanging="720"/>
        <w:jc w:val="both"/>
        <w:rPr>
          <w:rFonts w:ascii="Arial" w:hAnsi="Arial"/>
          <w:sz w:val="24"/>
          <w:szCs w:val="24"/>
          <w:lang w:val="en-GB"/>
        </w:rPr>
      </w:pPr>
    </w:p>
    <w:p w:rsidR="00F10596" w:rsidRDefault="00F10596" w:rsidP="00EF5785">
      <w:pPr>
        <w:autoSpaceDE w:val="0"/>
        <w:autoSpaceDN w:val="0"/>
        <w:adjustRightInd w:val="0"/>
        <w:spacing w:line="240" w:lineRule="auto"/>
        <w:ind w:left="720" w:hanging="720"/>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McGaughy, J., Kaiser, T. &amp; Sarter, M. (1996) Behavioral vigilance following infusions of 192 IgG-saporin into the basal forebrain: selectivity of the behavioral impairment and relation to cortical AChE-positive fiber density. </w:t>
      </w:r>
      <w:r>
        <w:rPr>
          <w:rFonts w:ascii="Arial" w:hAnsi="Arial"/>
          <w:i/>
          <w:sz w:val="24"/>
          <w:szCs w:val="24"/>
          <w:lang w:val="en-GB"/>
        </w:rPr>
        <w:t>Behav Neurosci</w:t>
      </w:r>
      <w:r>
        <w:rPr>
          <w:rFonts w:ascii="Arial" w:hAnsi="Arial"/>
          <w:sz w:val="24"/>
          <w:szCs w:val="24"/>
          <w:lang w:val="en-GB"/>
        </w:rPr>
        <w:t xml:space="preserve">, </w:t>
      </w:r>
      <w:r>
        <w:rPr>
          <w:rFonts w:ascii="Arial" w:hAnsi="Arial"/>
          <w:b/>
          <w:sz w:val="24"/>
          <w:szCs w:val="24"/>
          <w:lang w:val="en-GB"/>
        </w:rPr>
        <w:t>110</w:t>
      </w:r>
      <w:r>
        <w:rPr>
          <w:rFonts w:ascii="Arial" w:hAnsi="Arial"/>
          <w:sz w:val="24"/>
          <w:szCs w:val="24"/>
          <w:lang w:val="en-GB"/>
        </w:rPr>
        <w:t>, 247-265.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McMains, S.A., Fehd, H.M., Emmanouil, T.A. &amp; Kastner, S. (2007) Mechanisms of feature- and space-based attention: response modulation and baseline increases.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98</w:t>
      </w:r>
      <w:r>
        <w:rPr>
          <w:rFonts w:ascii="Arial" w:hAnsi="Arial"/>
          <w:sz w:val="24"/>
          <w:szCs w:val="24"/>
          <w:lang w:val="en-GB"/>
        </w:rPr>
        <w:t>, 2110-2121.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Mesulam, M.M. (1981) A cortical network for directed attention and unilateral neglect. </w:t>
      </w:r>
      <w:r>
        <w:rPr>
          <w:rFonts w:ascii="Arial" w:hAnsi="Arial"/>
          <w:i/>
          <w:sz w:val="24"/>
          <w:szCs w:val="24"/>
          <w:lang w:val="en-GB"/>
        </w:rPr>
        <w:t>Ann Neurol</w:t>
      </w:r>
      <w:r>
        <w:rPr>
          <w:rFonts w:ascii="Arial" w:hAnsi="Arial"/>
          <w:sz w:val="24"/>
          <w:szCs w:val="24"/>
          <w:lang w:val="en-GB"/>
        </w:rPr>
        <w:t xml:space="preserve">, </w:t>
      </w:r>
      <w:r>
        <w:rPr>
          <w:rFonts w:ascii="Arial" w:hAnsi="Arial"/>
          <w:b/>
          <w:sz w:val="24"/>
          <w:szCs w:val="24"/>
          <w:lang w:val="en-GB"/>
        </w:rPr>
        <w:t>10</w:t>
      </w:r>
      <w:r>
        <w:rPr>
          <w:rFonts w:ascii="Arial" w:hAnsi="Arial"/>
          <w:sz w:val="24"/>
          <w:szCs w:val="24"/>
          <w:lang w:val="en-GB"/>
        </w:rPr>
        <w:t>, 309-325.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Mesulam, M.M. (1990) Large-scale neurocognitive networks and distributed processing for attention, language, and memory. </w:t>
      </w:r>
      <w:r>
        <w:rPr>
          <w:rFonts w:ascii="Arial" w:hAnsi="Arial"/>
          <w:i/>
          <w:sz w:val="24"/>
          <w:szCs w:val="24"/>
          <w:lang w:val="en-GB"/>
        </w:rPr>
        <w:t>Ann Neurol</w:t>
      </w:r>
      <w:r>
        <w:rPr>
          <w:rFonts w:ascii="Arial" w:hAnsi="Arial"/>
          <w:sz w:val="24"/>
          <w:szCs w:val="24"/>
          <w:lang w:val="en-GB"/>
        </w:rPr>
        <w:t xml:space="preserve">, </w:t>
      </w:r>
      <w:r>
        <w:rPr>
          <w:rFonts w:ascii="Arial" w:hAnsi="Arial"/>
          <w:b/>
          <w:sz w:val="24"/>
          <w:szCs w:val="24"/>
          <w:lang w:val="en-GB"/>
        </w:rPr>
        <w:t>28</w:t>
      </w:r>
      <w:r>
        <w:rPr>
          <w:rFonts w:ascii="Arial" w:hAnsi="Arial"/>
          <w:sz w:val="24"/>
          <w:szCs w:val="24"/>
          <w:lang w:val="en-GB"/>
        </w:rPr>
        <w:t>, 597-613.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Mesulam, M.M., Van Hoesen, G.W., Pandya, D.N. &amp; Geschwind, N. (1977) Limbic and sensory connections of the inferior parietal lobule (area PG) in the rhesus monkey: a study with a new method for horseradish peroxidase histochemistry. </w:t>
      </w:r>
      <w:r>
        <w:rPr>
          <w:rFonts w:ascii="Arial" w:hAnsi="Arial"/>
          <w:i/>
          <w:sz w:val="24"/>
          <w:szCs w:val="24"/>
          <w:lang w:val="en-GB"/>
        </w:rPr>
        <w:t>Brain Res</w:t>
      </w:r>
      <w:r>
        <w:rPr>
          <w:rFonts w:ascii="Arial" w:hAnsi="Arial"/>
          <w:sz w:val="24"/>
          <w:szCs w:val="24"/>
          <w:lang w:val="en-GB"/>
        </w:rPr>
        <w:t xml:space="preserve">, </w:t>
      </w:r>
      <w:r>
        <w:rPr>
          <w:rFonts w:ascii="Arial" w:hAnsi="Arial"/>
          <w:b/>
          <w:sz w:val="24"/>
          <w:szCs w:val="24"/>
          <w:lang w:val="en-GB"/>
        </w:rPr>
        <w:t>136</w:t>
      </w:r>
      <w:r>
        <w:rPr>
          <w:rFonts w:ascii="Arial" w:hAnsi="Arial"/>
          <w:sz w:val="24"/>
          <w:szCs w:val="24"/>
          <w:lang w:val="en-GB"/>
        </w:rPr>
        <w:t>, 393-414.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Mohler, C.W. &amp; Wurtz, R.H. (1976) Organization of monkey superior colliculus: intermediate layer cells discharging before eye movements.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722-744.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Morecraft, R.J., Geula, C. &amp; Mesulam, M.M. (1993) Architecture of connectivity within a cingulo-fronto-parietal neurocognitive network for directed attention. </w:t>
      </w:r>
      <w:r>
        <w:rPr>
          <w:rFonts w:ascii="Arial" w:hAnsi="Arial"/>
          <w:i/>
          <w:sz w:val="24"/>
          <w:szCs w:val="24"/>
          <w:lang w:val="en-GB"/>
        </w:rPr>
        <w:t>Arch Neurol</w:t>
      </w:r>
      <w:r>
        <w:rPr>
          <w:rFonts w:ascii="Arial" w:hAnsi="Arial"/>
          <w:sz w:val="24"/>
          <w:szCs w:val="24"/>
          <w:lang w:val="en-GB"/>
        </w:rPr>
        <w:t xml:space="preserve">, </w:t>
      </w:r>
      <w:r>
        <w:rPr>
          <w:rFonts w:ascii="Arial" w:hAnsi="Arial"/>
          <w:b/>
          <w:sz w:val="24"/>
          <w:szCs w:val="24"/>
          <w:lang w:val="en-GB"/>
        </w:rPr>
        <w:t>50</w:t>
      </w:r>
      <w:r>
        <w:rPr>
          <w:rFonts w:ascii="Arial" w:hAnsi="Arial"/>
          <w:sz w:val="24"/>
          <w:szCs w:val="24"/>
          <w:lang w:val="en-GB"/>
        </w:rPr>
        <w:t>, 279-284.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Mountcastle, V.B., Andersen, R.A. &amp; Motter, B.C. (1981) The influence of attentive fixation upon the excitability of the light-sensitive neurons of the posterior parietal cortex.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w:t>
      </w:r>
      <w:r>
        <w:rPr>
          <w:rFonts w:ascii="Arial" w:hAnsi="Arial"/>
          <w:sz w:val="24"/>
          <w:szCs w:val="24"/>
          <w:lang w:val="en-GB"/>
        </w:rPr>
        <w:t>, 1218-1225.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Mountcastle, V.B., Lynch, J.C., Georgopoulos, A., Sakata, H. &amp; Acuna, C. (1975) Posterior parietal association cortex of the monkey: command functions for operations within extrapersonal space.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871-908.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Muir, J.L., Everitt, B.J. &amp; Robbins, T.W. (1995) Reversal of visual attentional dysfunction following lesions of the cholinergic basal forebrain by physostigmine and nicotine but not by the 5-HT3 receptor antagonist, ondansetron. </w:t>
      </w:r>
      <w:r>
        <w:rPr>
          <w:rFonts w:ascii="Arial" w:hAnsi="Arial"/>
          <w:i/>
          <w:sz w:val="24"/>
          <w:szCs w:val="24"/>
          <w:lang w:val="en-GB"/>
        </w:rPr>
        <w:t>Psychopharmacology (Berl)</w:t>
      </w:r>
      <w:r>
        <w:rPr>
          <w:rFonts w:ascii="Arial" w:hAnsi="Arial"/>
          <w:sz w:val="24"/>
          <w:szCs w:val="24"/>
          <w:lang w:val="en-GB"/>
        </w:rPr>
        <w:t xml:space="preserve">, </w:t>
      </w:r>
      <w:r>
        <w:rPr>
          <w:rFonts w:ascii="Arial" w:hAnsi="Arial"/>
          <w:b/>
          <w:sz w:val="24"/>
          <w:szCs w:val="24"/>
          <w:lang w:val="en-GB"/>
        </w:rPr>
        <w:t>118</w:t>
      </w:r>
      <w:r>
        <w:rPr>
          <w:rFonts w:ascii="Arial" w:hAnsi="Arial"/>
          <w:sz w:val="24"/>
          <w:szCs w:val="24"/>
          <w:lang w:val="en-GB"/>
        </w:rPr>
        <w:t>, 82-92.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Muir, J.L., Robbins, T.W. &amp; Everitt, B.J. (1992) Disruptive effects of muscimol infused into the basal forebrain on conditional discrimination and visual attention: differential interactions with cholinergic mechanisms. </w:t>
      </w:r>
      <w:r>
        <w:rPr>
          <w:rFonts w:ascii="Arial" w:hAnsi="Arial"/>
          <w:i/>
          <w:sz w:val="24"/>
          <w:szCs w:val="24"/>
          <w:lang w:val="en-GB"/>
        </w:rPr>
        <w:t>Psychopharmacology (Berl)</w:t>
      </w:r>
      <w:r>
        <w:rPr>
          <w:rFonts w:ascii="Arial" w:hAnsi="Arial"/>
          <w:sz w:val="24"/>
          <w:szCs w:val="24"/>
          <w:lang w:val="en-GB"/>
        </w:rPr>
        <w:t xml:space="preserve">, </w:t>
      </w:r>
      <w:r>
        <w:rPr>
          <w:rFonts w:ascii="Arial" w:hAnsi="Arial"/>
          <w:b/>
          <w:sz w:val="24"/>
          <w:szCs w:val="24"/>
          <w:lang w:val="en-GB"/>
        </w:rPr>
        <w:t>107</w:t>
      </w:r>
      <w:r>
        <w:rPr>
          <w:rFonts w:ascii="Arial" w:hAnsi="Arial"/>
          <w:sz w:val="24"/>
          <w:szCs w:val="24"/>
          <w:lang w:val="en-GB"/>
        </w:rPr>
        <w:t>, 541-550.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Mukai, I., Kim, D., Fukunaga, M., Japee, S., Marrett, S. &amp; Ungerleider, L.G. (2007) Activations in visual and attention-related areas predict and correlate with the degree of perceptual learning.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27</w:t>
      </w:r>
      <w:r>
        <w:rPr>
          <w:rFonts w:ascii="Arial" w:hAnsi="Arial"/>
          <w:sz w:val="24"/>
          <w:szCs w:val="24"/>
          <w:lang w:val="en-GB"/>
        </w:rPr>
        <w:t>, 11401-11411.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Nakamura, K. &amp; Colby, C.L. (2000) Visual, saccade-related, and cognitive activation of single neurons in monkey extrastriate area V3A.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84</w:t>
      </w:r>
      <w:r>
        <w:rPr>
          <w:rFonts w:ascii="Arial" w:hAnsi="Arial"/>
          <w:sz w:val="24"/>
          <w:szCs w:val="24"/>
          <w:lang w:val="en-GB"/>
        </w:rPr>
        <w:t>, 677-692.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Ogawa, S. &amp; Lee, T.M. (1990) Magnetic resonance imaging of blood vessels at high fields: in vivo and in vitro measurements and image simulation. </w:t>
      </w:r>
      <w:r>
        <w:rPr>
          <w:rFonts w:ascii="Arial" w:hAnsi="Arial"/>
          <w:i/>
          <w:sz w:val="24"/>
          <w:szCs w:val="24"/>
          <w:lang w:val="en-GB"/>
        </w:rPr>
        <w:t>Magn Reson Med</w:t>
      </w:r>
      <w:r>
        <w:rPr>
          <w:rFonts w:ascii="Arial" w:hAnsi="Arial"/>
          <w:sz w:val="24"/>
          <w:szCs w:val="24"/>
          <w:lang w:val="en-GB"/>
        </w:rPr>
        <w:t xml:space="preserve">, </w:t>
      </w:r>
      <w:r>
        <w:rPr>
          <w:rFonts w:ascii="Arial" w:hAnsi="Arial"/>
          <w:b/>
          <w:sz w:val="24"/>
          <w:szCs w:val="24"/>
          <w:lang w:val="en-GB"/>
        </w:rPr>
        <w:t>16</w:t>
      </w:r>
      <w:r>
        <w:rPr>
          <w:rFonts w:ascii="Arial" w:hAnsi="Arial"/>
          <w:sz w:val="24"/>
          <w:szCs w:val="24"/>
          <w:lang w:val="en-GB"/>
        </w:rPr>
        <w:t>, 9-18.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Olton, D.S., Wenk, G.L., Church, R.M. &amp; Meck, W.H. (1988) Attention and the frontal cortex as examined by simultaneous temporal processing. </w:t>
      </w:r>
      <w:r>
        <w:rPr>
          <w:rFonts w:ascii="Arial" w:hAnsi="Arial"/>
          <w:i/>
          <w:sz w:val="24"/>
          <w:szCs w:val="24"/>
          <w:lang w:val="en-GB"/>
        </w:rPr>
        <w:t>Neuropsychologia</w:t>
      </w:r>
      <w:r>
        <w:rPr>
          <w:rFonts w:ascii="Arial" w:hAnsi="Arial"/>
          <w:sz w:val="24"/>
          <w:szCs w:val="24"/>
          <w:lang w:val="en-GB"/>
        </w:rPr>
        <w:t xml:space="preserve">, </w:t>
      </w:r>
      <w:r>
        <w:rPr>
          <w:rFonts w:ascii="Arial" w:hAnsi="Arial"/>
          <w:b/>
          <w:sz w:val="24"/>
          <w:szCs w:val="24"/>
          <w:lang w:val="en-GB"/>
        </w:rPr>
        <w:t>26</w:t>
      </w:r>
      <w:r>
        <w:rPr>
          <w:rFonts w:ascii="Arial" w:hAnsi="Arial"/>
          <w:sz w:val="24"/>
          <w:szCs w:val="24"/>
          <w:lang w:val="en-GB"/>
        </w:rPr>
        <w:t>, 307-318.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Pandya, D.N. &amp; Kuypers, H.G. (1969) Cortico-cortical connections in the rhesus monkey. </w:t>
      </w:r>
      <w:r>
        <w:rPr>
          <w:rFonts w:ascii="Arial" w:hAnsi="Arial"/>
          <w:i/>
          <w:sz w:val="24"/>
          <w:szCs w:val="24"/>
          <w:lang w:val="en-GB"/>
        </w:rPr>
        <w:t>Brain Res</w:t>
      </w:r>
      <w:r>
        <w:rPr>
          <w:rFonts w:ascii="Arial" w:hAnsi="Arial"/>
          <w:sz w:val="24"/>
          <w:szCs w:val="24"/>
          <w:lang w:val="en-GB"/>
        </w:rPr>
        <w:t xml:space="preserve">, </w:t>
      </w:r>
      <w:r>
        <w:rPr>
          <w:rFonts w:ascii="Arial" w:hAnsi="Arial"/>
          <w:b/>
          <w:sz w:val="24"/>
          <w:szCs w:val="24"/>
          <w:lang w:val="en-GB"/>
        </w:rPr>
        <w:t>13</w:t>
      </w:r>
      <w:r>
        <w:rPr>
          <w:rFonts w:ascii="Arial" w:hAnsi="Arial"/>
          <w:sz w:val="24"/>
          <w:szCs w:val="24"/>
          <w:lang w:val="en-GB"/>
        </w:rPr>
        <w:t>, 13-36.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Pandya, D.N., Van Hoesen, G.W. &amp; Mesulam, M.M. (1981) Efferent connections of the cingulate gyrus in the rhesus monkey. </w:t>
      </w:r>
      <w:r>
        <w:rPr>
          <w:rFonts w:ascii="Arial" w:hAnsi="Arial"/>
          <w:i/>
          <w:sz w:val="24"/>
          <w:szCs w:val="24"/>
          <w:lang w:val="en-GB"/>
        </w:rPr>
        <w:t>Exp Brain Res</w:t>
      </w:r>
      <w:r>
        <w:rPr>
          <w:rFonts w:ascii="Arial" w:hAnsi="Arial"/>
          <w:sz w:val="24"/>
          <w:szCs w:val="24"/>
          <w:lang w:val="en-GB"/>
        </w:rPr>
        <w:t xml:space="preserve">, </w:t>
      </w:r>
      <w:r>
        <w:rPr>
          <w:rFonts w:ascii="Arial" w:hAnsi="Arial"/>
          <w:b/>
          <w:sz w:val="24"/>
          <w:szCs w:val="24"/>
          <w:lang w:val="en-GB"/>
        </w:rPr>
        <w:t>42</w:t>
      </w:r>
      <w:r>
        <w:rPr>
          <w:rFonts w:ascii="Arial" w:hAnsi="Arial"/>
          <w:sz w:val="24"/>
          <w:szCs w:val="24"/>
          <w:lang w:val="en-GB"/>
        </w:rPr>
        <w:t>, 319-330.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(1976) Consistency of individual differences in human vigilance performance: an abilities classification analysis. </w:t>
      </w:r>
      <w:r>
        <w:rPr>
          <w:rFonts w:ascii="Arial" w:hAnsi="Arial"/>
          <w:i/>
          <w:sz w:val="24"/>
          <w:szCs w:val="24"/>
          <w:lang w:val="en-GB"/>
        </w:rPr>
        <w:t>J Appl Psychol</w:t>
      </w:r>
      <w:r>
        <w:rPr>
          <w:rFonts w:ascii="Arial" w:hAnsi="Arial"/>
          <w:sz w:val="24"/>
          <w:szCs w:val="24"/>
          <w:lang w:val="en-GB"/>
        </w:rPr>
        <w:t xml:space="preserve">, </w:t>
      </w:r>
      <w:r>
        <w:rPr>
          <w:rFonts w:ascii="Arial" w:hAnsi="Arial"/>
          <w:b/>
          <w:sz w:val="24"/>
          <w:szCs w:val="24"/>
          <w:lang w:val="en-GB"/>
        </w:rPr>
        <w:t>61</w:t>
      </w:r>
      <w:r>
        <w:rPr>
          <w:rFonts w:ascii="Arial" w:hAnsi="Arial"/>
          <w:sz w:val="24"/>
          <w:szCs w:val="24"/>
          <w:lang w:val="en-GB"/>
        </w:rPr>
        <w:t>, 486-492.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(1979) Memory load and event rate control sensitivity decrements in sustained attention.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205</w:t>
      </w:r>
      <w:r>
        <w:rPr>
          <w:rFonts w:ascii="Arial" w:hAnsi="Arial"/>
          <w:sz w:val="24"/>
          <w:szCs w:val="24"/>
          <w:lang w:val="en-GB"/>
        </w:rPr>
        <w:t>, 924-927.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(1979) Memory load and event rate control sensitivity decrements in sustained attention.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205</w:t>
      </w:r>
      <w:r>
        <w:rPr>
          <w:rFonts w:ascii="Arial" w:hAnsi="Arial"/>
          <w:sz w:val="24"/>
          <w:szCs w:val="24"/>
          <w:lang w:val="en-GB"/>
        </w:rPr>
        <w:t>, 924-927.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&amp; Davies, D.R. (1976) Decision theory analysis of response latencies in vigilance. </w:t>
      </w:r>
      <w:r>
        <w:rPr>
          <w:rFonts w:ascii="Arial" w:hAnsi="Arial"/>
          <w:i/>
          <w:sz w:val="24"/>
          <w:szCs w:val="24"/>
          <w:lang w:val="en-GB"/>
        </w:rPr>
        <w:t>J Exp Psychol Hum Percept Perform</w:t>
      </w:r>
      <w:r>
        <w:rPr>
          <w:rFonts w:ascii="Arial" w:hAnsi="Arial"/>
          <w:sz w:val="24"/>
          <w:szCs w:val="24"/>
          <w:lang w:val="en-GB"/>
        </w:rPr>
        <w:t xml:space="preserve">, </w:t>
      </w:r>
      <w:r>
        <w:rPr>
          <w:rFonts w:ascii="Arial" w:hAnsi="Arial"/>
          <w:b/>
          <w:sz w:val="24"/>
          <w:szCs w:val="24"/>
          <w:lang w:val="en-GB"/>
        </w:rPr>
        <w:t>2</w:t>
      </w:r>
      <w:r>
        <w:rPr>
          <w:rFonts w:ascii="Arial" w:hAnsi="Arial"/>
          <w:sz w:val="24"/>
          <w:szCs w:val="24"/>
          <w:lang w:val="en-GB"/>
        </w:rPr>
        <w:t>, 578-590.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&amp; Mouloua, M. (1987) Interaction of signal discriminability and task type in vigilance decrement.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41</w:t>
      </w:r>
      <w:r>
        <w:rPr>
          <w:rFonts w:ascii="Arial" w:hAnsi="Arial"/>
          <w:sz w:val="24"/>
          <w:szCs w:val="24"/>
          <w:lang w:val="en-GB"/>
        </w:rPr>
        <w:t>, 17-22.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Nestor, P. &amp; Greenwood, P. (1989) Sustained-attention capacity in young and older adults. </w:t>
      </w:r>
      <w:r>
        <w:rPr>
          <w:rFonts w:ascii="Arial" w:hAnsi="Arial"/>
          <w:i/>
          <w:sz w:val="24"/>
          <w:szCs w:val="24"/>
          <w:lang w:val="en-GB"/>
        </w:rPr>
        <w:t>Psychol Aging</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339-345.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Richer, F. &amp; Beatty, J. (1982) Detection and recognition: Concurrent processes in perception.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31</w:t>
      </w:r>
      <w:r>
        <w:rPr>
          <w:rFonts w:ascii="Arial" w:hAnsi="Arial"/>
          <w:sz w:val="24"/>
          <w:szCs w:val="24"/>
          <w:lang w:val="en-GB"/>
        </w:rPr>
        <w:t>, 1-12.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Pessoa, L., Kastner, S. &amp; Ungerleider, L.G. (2003) Neuroimaging studies of attention: from modulation of sensory processing to top-down control.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23</w:t>
      </w:r>
      <w:r>
        <w:rPr>
          <w:rFonts w:ascii="Arial" w:hAnsi="Arial"/>
          <w:sz w:val="24"/>
          <w:szCs w:val="24"/>
          <w:lang w:val="en-GB"/>
        </w:rPr>
        <w:t>, 3990-3998.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Petrides, M. &amp; Pandya, D.N. (1984) Projections to the frontal cortex from the posterior parietal region in the rhesus monkey.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228</w:t>
      </w:r>
      <w:r>
        <w:rPr>
          <w:rFonts w:ascii="Arial" w:hAnsi="Arial"/>
          <w:sz w:val="24"/>
          <w:szCs w:val="24"/>
          <w:lang w:val="en-GB"/>
        </w:rPr>
        <w:t>, 105-116.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Pollmann, S. &amp; Maertens, M. (2005) Shift of activity from attention to motor-related brain areas during visual learning. </w:t>
      </w:r>
      <w:r>
        <w:rPr>
          <w:rFonts w:ascii="Arial" w:hAnsi="Arial"/>
          <w:i/>
          <w:sz w:val="24"/>
          <w:szCs w:val="24"/>
          <w:lang w:val="en-GB"/>
        </w:rPr>
        <w:t>Nat Neurosci</w:t>
      </w:r>
      <w:r>
        <w:rPr>
          <w:rFonts w:ascii="Arial" w:hAnsi="Arial"/>
          <w:sz w:val="24"/>
          <w:szCs w:val="24"/>
          <w:lang w:val="en-GB"/>
        </w:rPr>
        <w:t xml:space="preserve">, </w:t>
      </w:r>
      <w:r>
        <w:rPr>
          <w:rFonts w:ascii="Arial" w:hAnsi="Arial"/>
          <w:b/>
          <w:sz w:val="24"/>
          <w:szCs w:val="24"/>
          <w:lang w:val="en-GB"/>
        </w:rPr>
        <w:t>8</w:t>
      </w:r>
      <w:r>
        <w:rPr>
          <w:rFonts w:ascii="Arial" w:hAnsi="Arial"/>
          <w:sz w:val="24"/>
          <w:szCs w:val="24"/>
          <w:lang w:val="en-GB"/>
        </w:rPr>
        <w:t>, 1494-1496.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&amp; Petersen, S.E. (1990) The attention system of the human brain.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13</w:t>
      </w:r>
      <w:r>
        <w:rPr>
          <w:rFonts w:ascii="Arial" w:hAnsi="Arial"/>
          <w:sz w:val="24"/>
          <w:szCs w:val="24"/>
          <w:lang w:val="en-GB"/>
        </w:rPr>
        <w:t>, 25-42.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&amp; Petersen, S.E. (1990) The attention system of the human brain.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13</w:t>
      </w:r>
      <w:r>
        <w:rPr>
          <w:rFonts w:ascii="Arial" w:hAnsi="Arial"/>
          <w:sz w:val="24"/>
          <w:szCs w:val="24"/>
          <w:lang w:val="en-GB"/>
        </w:rPr>
        <w:t>, 25-42.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&amp; Rothbart, M.K. (1980) The development of attentional mechanisms. </w:t>
      </w:r>
      <w:r>
        <w:rPr>
          <w:rFonts w:ascii="Arial" w:hAnsi="Arial"/>
          <w:i/>
          <w:sz w:val="24"/>
          <w:szCs w:val="24"/>
          <w:lang w:val="en-GB"/>
        </w:rPr>
        <w:t>Nebr Symp Motiv</w:t>
      </w:r>
      <w:r>
        <w:rPr>
          <w:rFonts w:ascii="Arial" w:hAnsi="Arial"/>
          <w:sz w:val="24"/>
          <w:szCs w:val="24"/>
          <w:lang w:val="en-GB"/>
        </w:rPr>
        <w:t xml:space="preserve">, </w:t>
      </w:r>
      <w:r>
        <w:rPr>
          <w:rFonts w:ascii="Arial" w:hAnsi="Arial"/>
          <w:b/>
          <w:sz w:val="24"/>
          <w:szCs w:val="24"/>
          <w:lang w:val="en-GB"/>
        </w:rPr>
        <w:t>28</w:t>
      </w:r>
      <w:r>
        <w:rPr>
          <w:rFonts w:ascii="Arial" w:hAnsi="Arial"/>
          <w:sz w:val="24"/>
          <w:szCs w:val="24"/>
          <w:lang w:val="en-GB"/>
        </w:rPr>
        <w:t>, 1-52.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Walker, J.A., Friedrich, F.A. &amp; Rafal, R.D. (1987) How do the parietal lobes direct covert attention? </w:t>
      </w:r>
      <w:r>
        <w:rPr>
          <w:rFonts w:ascii="Arial" w:hAnsi="Arial"/>
          <w:i/>
          <w:sz w:val="24"/>
          <w:szCs w:val="24"/>
          <w:lang w:val="en-GB"/>
        </w:rPr>
        <w:t>Neuropsychologia</w:t>
      </w:r>
      <w:r>
        <w:rPr>
          <w:rFonts w:ascii="Arial" w:hAnsi="Arial"/>
          <w:sz w:val="24"/>
          <w:szCs w:val="24"/>
          <w:lang w:val="en-GB"/>
        </w:rPr>
        <w:t xml:space="preserve">, </w:t>
      </w:r>
      <w:r>
        <w:rPr>
          <w:rFonts w:ascii="Arial" w:hAnsi="Arial"/>
          <w:b/>
          <w:sz w:val="24"/>
          <w:szCs w:val="24"/>
          <w:lang w:val="en-GB"/>
        </w:rPr>
        <w:t>25</w:t>
      </w:r>
      <w:r>
        <w:rPr>
          <w:rFonts w:ascii="Arial" w:hAnsi="Arial"/>
          <w:sz w:val="24"/>
          <w:szCs w:val="24"/>
          <w:lang w:val="en-GB"/>
        </w:rPr>
        <w:t>, 135-145.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Walker, J.A., Friedrich, F.J. &amp; Rafal, R.D. (1984) Effects of parietal injury on covert orienting of attention.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1863-1874.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Rafal, R.D. &amp; Posner, M.I. (1987) Deficits in human visual spatial attention following thalamic lesions.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84</w:t>
      </w:r>
      <w:r>
        <w:rPr>
          <w:rFonts w:ascii="Arial" w:hAnsi="Arial"/>
          <w:sz w:val="24"/>
          <w:szCs w:val="24"/>
          <w:lang w:val="en-GB"/>
        </w:rPr>
        <w:t>, 7349-7353.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Ramachandran, V.S. (1976) Learning-like phenomena in stereopsis.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262</w:t>
      </w:r>
      <w:r>
        <w:rPr>
          <w:rFonts w:ascii="Arial" w:hAnsi="Arial"/>
          <w:sz w:val="24"/>
          <w:szCs w:val="24"/>
          <w:lang w:val="en-GB"/>
        </w:rPr>
        <w:t>, 382-384.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Ramachandran, V.S. &amp; Braddick, O. (1973) Orientation-specific learning in stereopsis. </w:t>
      </w:r>
      <w:r>
        <w:rPr>
          <w:rFonts w:ascii="Arial" w:hAnsi="Arial"/>
          <w:i/>
          <w:sz w:val="24"/>
          <w:szCs w:val="24"/>
          <w:lang w:val="en-GB"/>
        </w:rPr>
        <w:t>Perception</w:t>
      </w:r>
      <w:r>
        <w:rPr>
          <w:rFonts w:ascii="Arial" w:hAnsi="Arial"/>
          <w:sz w:val="24"/>
          <w:szCs w:val="24"/>
          <w:lang w:val="en-GB"/>
        </w:rPr>
        <w:t xml:space="preserve">, </w:t>
      </w:r>
      <w:r>
        <w:rPr>
          <w:rFonts w:ascii="Arial" w:hAnsi="Arial"/>
          <w:b/>
          <w:sz w:val="24"/>
          <w:szCs w:val="24"/>
          <w:lang w:val="en-GB"/>
        </w:rPr>
        <w:t>2</w:t>
      </w:r>
      <w:r>
        <w:rPr>
          <w:rFonts w:ascii="Arial" w:hAnsi="Arial"/>
          <w:sz w:val="24"/>
          <w:szCs w:val="24"/>
          <w:lang w:val="en-GB"/>
        </w:rPr>
        <w:t>, 371-376.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Recanzone, G.H. &amp; Wurtz, R.H. (2000) Effects of attention on MT and MST neuronal activity during pursuit initiation.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83</w:t>
      </w:r>
      <w:r>
        <w:rPr>
          <w:rFonts w:ascii="Arial" w:hAnsi="Arial"/>
          <w:sz w:val="24"/>
          <w:szCs w:val="24"/>
          <w:lang w:val="en-GB"/>
        </w:rPr>
        <w:t>, 777-790.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Reynolds, J.H. &amp; Chelazzi, L. (2004) Attentional modulation of visual processing.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27</w:t>
      </w:r>
      <w:r>
        <w:rPr>
          <w:rFonts w:ascii="Arial" w:hAnsi="Arial"/>
          <w:sz w:val="24"/>
          <w:szCs w:val="24"/>
          <w:lang w:val="en-GB"/>
        </w:rPr>
        <w:t>, 611-647.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Richmond, B.J. &amp; Sato, T. (1987) Enhancement of inferior temporal neurons during visual discrimination.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58</w:t>
      </w:r>
      <w:r>
        <w:rPr>
          <w:rFonts w:ascii="Arial" w:hAnsi="Arial"/>
          <w:sz w:val="24"/>
          <w:szCs w:val="24"/>
          <w:lang w:val="en-GB"/>
        </w:rPr>
        <w:t>, 1292-1306.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Richmond, B.J., Wurtz, R.H. &amp; Sato, T. (1983) Visual responses of inferior temporal neurons in awake rhesus monkey.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50</w:t>
      </w:r>
      <w:r>
        <w:rPr>
          <w:rFonts w:ascii="Arial" w:hAnsi="Arial"/>
          <w:sz w:val="24"/>
          <w:szCs w:val="24"/>
          <w:lang w:val="en-GB"/>
        </w:rPr>
        <w:t>, 1415-1432.</w:t>
      </w:r>
    </w:p>
    <w:p w:rsidR="00125F72" w:rsidRDefault="00125F72" w:rsidP="00EF5785">
      <w:pPr>
        <w:autoSpaceDE w:val="0"/>
        <w:autoSpaceDN w:val="0"/>
        <w:adjustRightInd w:val="0"/>
        <w:spacing w:line="240" w:lineRule="auto"/>
        <w:jc w:val="both"/>
        <w:rPr>
          <w:rFonts w:ascii="Arial" w:hAnsi="Arial"/>
          <w:sz w:val="24"/>
          <w:szCs w:val="24"/>
          <w:lang w:val="en-GB"/>
        </w:rPr>
      </w:pPr>
    </w:p>
    <w:p w:rsidR="00204FAC"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Roberts, A.C., De Salvia, M.A., Wilkinson, L.S., Collins, P., Muir, J.L., Everitt, B.J. &amp; Robbins, T.W. (1994) 6-Hydroxydopamine lesions of the prefrontal cortex in monkeys enhance performance on an analog of the Wisconsin Card Sort Test: possible interactions with subcortical dopamine.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2531-2544.</w:t>
      </w:r>
    </w:p>
    <w:p w:rsidR="00125F72" w:rsidRPr="00204FAC" w:rsidRDefault="00204FAC"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Robbins, T W, Everitt, B J, (1995) Arousal system and attention.  </w:t>
      </w:r>
      <w:r>
        <w:rPr>
          <w:rFonts w:ascii="Arial" w:hAnsi="Arial"/>
          <w:i/>
          <w:sz w:val="24"/>
          <w:szCs w:val="24"/>
          <w:lang w:val="en-GB"/>
        </w:rPr>
        <w:t>The cognitive neuroscience 703-720.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Saint-Cyr, J.A., Ungerleider, L.G. &amp; Desimone, R. (1990) Organization of visual cortical inputs to the striatum and subsequent outputs to the pallido-nigral complex in the monkey.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298</w:t>
      </w:r>
      <w:r>
        <w:rPr>
          <w:rFonts w:ascii="Arial" w:hAnsi="Arial"/>
          <w:sz w:val="24"/>
          <w:szCs w:val="24"/>
          <w:lang w:val="en-GB"/>
        </w:rPr>
        <w:t>, 129-156.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Sapir, A., d'Avossa, G., McAvoy, M., Shulman, G.L. &amp; Corbetta, M. (2005) Brain signals for spatial attention predict performance in a motion discrimination task.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102</w:t>
      </w:r>
      <w:r>
        <w:rPr>
          <w:rFonts w:ascii="Arial" w:hAnsi="Arial"/>
          <w:sz w:val="24"/>
          <w:szCs w:val="24"/>
          <w:lang w:val="en-GB"/>
        </w:rPr>
        <w:t>, 17810-17815.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Sapir, A., d'Avossa, G., McAvoy, M., Shulman, G.L. &amp; Corbetta, M. (2005) Brain signals for spatial attention predict performance in a motion discrimination task.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102</w:t>
      </w:r>
      <w:r>
        <w:rPr>
          <w:rFonts w:ascii="Arial" w:hAnsi="Arial"/>
          <w:sz w:val="24"/>
          <w:szCs w:val="24"/>
          <w:lang w:val="en-GB"/>
        </w:rPr>
        <w:t>, 17810-17815.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Schiltz, C., Bodart, J.M., Dubois, S., Dejardin, S., Michel, C., Roucoux, A., Crommelinck, M. &amp; Orban, G.A. (1999) Neuronal mechanisms of perceptual learning: changes in human brain activity with training in orientation discrimination.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9</w:t>
      </w:r>
      <w:r>
        <w:rPr>
          <w:rFonts w:ascii="Arial" w:hAnsi="Arial"/>
          <w:sz w:val="24"/>
          <w:szCs w:val="24"/>
          <w:lang w:val="en-GB"/>
        </w:rPr>
        <w:t>, 46-62.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Schoups, A., Vogels, R., Qian, N. &amp; Orban, G. (2001) Practising orientation identification improves orientation coding in V1 neurons.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412</w:t>
      </w:r>
      <w:r>
        <w:rPr>
          <w:rFonts w:ascii="Arial" w:hAnsi="Arial"/>
          <w:sz w:val="24"/>
          <w:szCs w:val="24"/>
          <w:lang w:val="en-GB"/>
        </w:rPr>
        <w:t>, 549-553.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Schoups, A.A., Vogels, R. &amp; Orban, G.A. (1995) Human perceptual learning in identifying the oblique orientation: retinotopy, orientation specificity and monocularity. </w:t>
      </w:r>
      <w:r>
        <w:rPr>
          <w:rFonts w:ascii="Arial" w:hAnsi="Arial"/>
          <w:i/>
          <w:sz w:val="24"/>
          <w:szCs w:val="24"/>
          <w:lang w:val="en-GB"/>
        </w:rPr>
        <w:t>J Physiol</w:t>
      </w:r>
      <w:r>
        <w:rPr>
          <w:rFonts w:ascii="Arial" w:hAnsi="Arial"/>
          <w:sz w:val="24"/>
          <w:szCs w:val="24"/>
          <w:lang w:val="en-GB"/>
        </w:rPr>
        <w:t xml:space="preserve">, </w:t>
      </w:r>
      <w:r>
        <w:rPr>
          <w:rFonts w:ascii="Arial" w:hAnsi="Arial"/>
          <w:b/>
          <w:sz w:val="24"/>
          <w:szCs w:val="24"/>
          <w:lang w:val="en-GB"/>
        </w:rPr>
        <w:t>483 ( Pt 3)</w:t>
      </w:r>
      <w:r>
        <w:rPr>
          <w:rFonts w:ascii="Arial" w:hAnsi="Arial"/>
          <w:sz w:val="24"/>
          <w:szCs w:val="24"/>
          <w:lang w:val="en-GB"/>
        </w:rPr>
        <w:t>, 797-810.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Schwartz, M.L. &amp; Goldman-Rakic, P.S. (1982) Single cortical neurones have axon collaterals to ipsilateral and contralateral cortex in fetal and adult primates.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299</w:t>
      </w:r>
      <w:r>
        <w:rPr>
          <w:rFonts w:ascii="Arial" w:hAnsi="Arial"/>
          <w:sz w:val="24"/>
          <w:szCs w:val="24"/>
          <w:lang w:val="en-GB"/>
        </w:rPr>
        <w:t>, 154-155.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Schwartz, S., Maquet, P. &amp; Frith, C. (2002) Neural correlates of perceptual learning: a functional MRI study of visual texture discrimination.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99</w:t>
      </w:r>
      <w:r>
        <w:rPr>
          <w:rFonts w:ascii="Arial" w:hAnsi="Arial"/>
          <w:sz w:val="24"/>
          <w:szCs w:val="24"/>
          <w:lang w:val="en-GB"/>
        </w:rPr>
        <w:t>, 17137-17142.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Selemon, L.D. &amp; Goldman-Rakic, P.S. (1988) Common cortical and subcortical targets of the dorsolateral prefrontal and posterior parietal cortices in the rhesus monkey: evidence for a distributed neural network subserving spatially guided behavior.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8</w:t>
      </w:r>
      <w:r>
        <w:rPr>
          <w:rFonts w:ascii="Arial" w:hAnsi="Arial"/>
          <w:sz w:val="24"/>
          <w:szCs w:val="24"/>
          <w:lang w:val="en-GB"/>
        </w:rPr>
        <w:t>, 4049-4068.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Sereno, M.I., Dale, A.M., Reppas, J.B., Kwong, K.K., Belliveau, J.W., Brady, T.J., Rosen, B.R. &amp; Tootell, R.B. (1995) Borders of multiple visual areas in humans revealed by functional magnetic resonance imaging.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268</w:t>
      </w:r>
      <w:r>
        <w:rPr>
          <w:rFonts w:ascii="Arial" w:hAnsi="Arial"/>
          <w:sz w:val="24"/>
          <w:szCs w:val="24"/>
          <w:lang w:val="en-GB"/>
        </w:rPr>
        <w:t>, 889-893.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Shiffrin, R.M. &amp; Schneider, W. (1977) Controlled and Automatic Human Information-Processing .2. Perceptual Learning, Automatic Attending, and a General Theory. </w:t>
      </w:r>
      <w:r>
        <w:rPr>
          <w:rFonts w:ascii="Arial" w:hAnsi="Arial"/>
          <w:i/>
          <w:sz w:val="24"/>
          <w:szCs w:val="24"/>
          <w:lang w:val="en-GB"/>
        </w:rPr>
        <w:t>Psychol Rev</w:t>
      </w:r>
      <w:r>
        <w:rPr>
          <w:rFonts w:ascii="Arial" w:hAnsi="Arial"/>
          <w:sz w:val="24"/>
          <w:szCs w:val="24"/>
          <w:lang w:val="en-GB"/>
        </w:rPr>
        <w:t xml:space="preserve">, </w:t>
      </w:r>
      <w:r>
        <w:rPr>
          <w:rFonts w:ascii="Arial" w:hAnsi="Arial"/>
          <w:b/>
          <w:sz w:val="24"/>
          <w:szCs w:val="24"/>
          <w:lang w:val="en-GB"/>
        </w:rPr>
        <w:t>84</w:t>
      </w:r>
      <w:r>
        <w:rPr>
          <w:rFonts w:ascii="Arial" w:hAnsi="Arial"/>
          <w:sz w:val="24"/>
          <w:szCs w:val="24"/>
          <w:lang w:val="en-GB"/>
        </w:rPr>
        <w:t>, 127-190.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Shiu, L.P. &amp; Pashler, H. (1992) Improvement in line orientation discrimination is retinally local but dependent on cognitive set.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52</w:t>
      </w:r>
      <w:r>
        <w:rPr>
          <w:rFonts w:ascii="Arial" w:hAnsi="Arial"/>
          <w:sz w:val="24"/>
          <w:szCs w:val="24"/>
          <w:lang w:val="en-GB"/>
        </w:rPr>
        <w:t>, 582-588.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Sigman, M., Pan, H., Yang, Y., Stern, E., Silbersweig, D. &amp; Gilbert, C.D. (2005) Top-down reorganization of activity in the visual pathway after learning a shape identification task.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46</w:t>
      </w:r>
      <w:r>
        <w:rPr>
          <w:rFonts w:ascii="Arial" w:hAnsi="Arial"/>
          <w:sz w:val="24"/>
          <w:szCs w:val="24"/>
          <w:lang w:val="en-GB"/>
        </w:rPr>
        <w:t>, 823-835.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Silver, M.A., Ress, D. &amp; Heeger, D.J. (2007) Neural correlates of sustained spatial attention in human early visual cortex.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97</w:t>
      </w:r>
      <w:r>
        <w:rPr>
          <w:rFonts w:ascii="Arial" w:hAnsi="Arial"/>
          <w:sz w:val="24"/>
          <w:szCs w:val="24"/>
          <w:lang w:val="en-GB"/>
        </w:rPr>
        <w:t>, 229-237.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Smith, A.T., Singh, K.D. &amp; Balsters, J.H. (2007) A comment on the severity of the effects of non-white noise in fMRI time-series.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36</w:t>
      </w:r>
      <w:r>
        <w:rPr>
          <w:rFonts w:ascii="Arial" w:hAnsi="Arial"/>
          <w:sz w:val="24"/>
          <w:szCs w:val="24"/>
          <w:lang w:val="en-GB"/>
        </w:rPr>
        <w:t>, 282-288.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Sohlberg, M.M. &amp; Mateer, C.A. (1989) Training use of compensatory memory books: a three stage behavioral approach. </w:t>
      </w:r>
      <w:r>
        <w:rPr>
          <w:rFonts w:ascii="Arial" w:hAnsi="Arial"/>
          <w:i/>
          <w:sz w:val="24"/>
          <w:szCs w:val="24"/>
          <w:lang w:val="en-GB"/>
        </w:rPr>
        <w:t>J Clin Exp Neuropsychol</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871-891.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Spitzer, H. &amp; Richmond, B.J. (1991) Task difficulty: ignoring, attending to, and discriminating a visual stimulus yield progressively more activity in inferior temporal neurons. </w:t>
      </w:r>
      <w:r>
        <w:rPr>
          <w:rFonts w:ascii="Arial" w:hAnsi="Arial"/>
          <w:i/>
          <w:sz w:val="24"/>
          <w:szCs w:val="24"/>
          <w:lang w:val="en-GB"/>
        </w:rPr>
        <w:t>Exp Brain Res</w:t>
      </w:r>
      <w:r>
        <w:rPr>
          <w:rFonts w:ascii="Arial" w:hAnsi="Arial"/>
          <w:sz w:val="24"/>
          <w:szCs w:val="24"/>
          <w:lang w:val="en-GB"/>
        </w:rPr>
        <w:t xml:space="preserve">, </w:t>
      </w:r>
      <w:r>
        <w:rPr>
          <w:rFonts w:ascii="Arial" w:hAnsi="Arial"/>
          <w:b/>
          <w:sz w:val="24"/>
          <w:szCs w:val="24"/>
          <w:lang w:val="en-GB"/>
        </w:rPr>
        <w:t>83</w:t>
      </w:r>
      <w:r>
        <w:rPr>
          <w:rFonts w:ascii="Arial" w:hAnsi="Arial"/>
          <w:sz w:val="24"/>
          <w:szCs w:val="24"/>
          <w:lang w:val="en-GB"/>
        </w:rPr>
        <w:t>, 340-348.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Steinmetz, P.N., Roy, A., Fitzgerald, P.J., Hsiao, S.S., Johnson, K.O. &amp; Niebur, E. (2000) Attention modulates synchronized neuronal firing in primate somatosensory cortex.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404</w:t>
      </w:r>
      <w:r>
        <w:rPr>
          <w:rFonts w:ascii="Arial" w:hAnsi="Arial"/>
          <w:sz w:val="24"/>
          <w:szCs w:val="24"/>
          <w:lang w:val="en-GB"/>
        </w:rPr>
        <w:t>, 187-190.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Stokes, M., Thompson, R., Nobre, A.C. &amp; Duncan, J. (2009) Shape-specific preparatory activity mediates attention to targets in human visual cortex.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106</w:t>
      </w:r>
      <w:r>
        <w:rPr>
          <w:rFonts w:ascii="Arial" w:hAnsi="Arial"/>
          <w:sz w:val="24"/>
          <w:szCs w:val="24"/>
          <w:lang w:val="en-GB"/>
        </w:rPr>
        <w:t>, 19569-19574.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Sylvester, C.M., Jack, A.I., Corbetta, M. &amp; Shulman, G.L. (2008) Anticipatory suppression of nonattended locations in visual cortex marks target location and predicts perception.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28</w:t>
      </w:r>
      <w:r>
        <w:rPr>
          <w:rFonts w:ascii="Arial" w:hAnsi="Arial"/>
          <w:sz w:val="24"/>
          <w:szCs w:val="24"/>
          <w:lang w:val="en-GB"/>
        </w:rPr>
        <w:t>, 6549-6556.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Sylvester, C.M., Shulman, G.L., Jack, A.I. &amp; Corbetta, M. (2007) Asymmetry of anticipatory activity in visual cortex predicts the locus of attention and perception.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27</w:t>
      </w:r>
      <w:r>
        <w:rPr>
          <w:rFonts w:ascii="Arial" w:hAnsi="Arial"/>
          <w:sz w:val="24"/>
          <w:szCs w:val="24"/>
          <w:lang w:val="en-GB"/>
        </w:rPr>
        <w:t>, 14424-14433.</w:t>
      </w: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Sylvester, C.M., Shulman, G.L., Jack, A.I. &amp; Corbetta, M. (2009) Anticipatory and stimulus-evoked blood oxygenation level-dependent modulations related to spatial attention reflect a common additive signal.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29</w:t>
      </w:r>
      <w:r>
        <w:rPr>
          <w:rFonts w:ascii="Arial" w:hAnsi="Arial"/>
          <w:sz w:val="24"/>
          <w:szCs w:val="24"/>
          <w:lang w:val="en-GB"/>
        </w:rPr>
        <w:t>, 10671-10682.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Thulborn, K.R., Chang, S.Y., Shen, G.X. &amp; Voyvodic, J.T. (1997) High-resolution echo-planar fMRI of human visual cortex at 3.0 tesla. </w:t>
      </w:r>
      <w:r>
        <w:rPr>
          <w:rFonts w:ascii="Arial" w:hAnsi="Arial"/>
          <w:i/>
          <w:sz w:val="24"/>
          <w:szCs w:val="24"/>
          <w:lang w:val="en-GB"/>
        </w:rPr>
        <w:t>NMR Biomed</w:t>
      </w:r>
      <w:r>
        <w:rPr>
          <w:rFonts w:ascii="Arial" w:hAnsi="Arial"/>
          <w:sz w:val="24"/>
          <w:szCs w:val="24"/>
          <w:lang w:val="en-GB"/>
        </w:rPr>
        <w:t xml:space="preserve">, </w:t>
      </w:r>
      <w:r>
        <w:rPr>
          <w:rFonts w:ascii="Arial" w:hAnsi="Arial"/>
          <w:b/>
          <w:sz w:val="24"/>
          <w:szCs w:val="24"/>
          <w:lang w:val="en-GB"/>
        </w:rPr>
        <w:t>10</w:t>
      </w:r>
      <w:r>
        <w:rPr>
          <w:rFonts w:ascii="Arial" w:hAnsi="Arial"/>
          <w:sz w:val="24"/>
          <w:szCs w:val="24"/>
          <w:lang w:val="en-GB"/>
        </w:rPr>
        <w:t>, 183-190.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Tootell, R.B., Reppas, J.B., Dale, A.M., Look, R.B., Sereno, M.I., Malach, R., Brady, T.J. &amp; Rosen, B.R. (1995) Visual motion aftereffect in human cortical area MT revealed by functional magnetic resonance imaging.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375</w:t>
      </w:r>
      <w:r>
        <w:rPr>
          <w:rFonts w:ascii="Arial" w:hAnsi="Arial"/>
          <w:sz w:val="24"/>
          <w:szCs w:val="24"/>
          <w:lang w:val="en-GB"/>
        </w:rPr>
        <w:t>, 139-141.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Tootell, R.B., Reppas, J.B., Kwong, K.K., Malach, R., Born, R.T., Brady, T.J., Rosen, B.R. &amp; Belliveau, J.W. (1995) Functional analysis of human MT and related visual cortical areas using magnetic resonance imaging.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15</w:t>
      </w:r>
      <w:r>
        <w:rPr>
          <w:rFonts w:ascii="Arial" w:hAnsi="Arial"/>
          <w:sz w:val="24"/>
          <w:szCs w:val="24"/>
          <w:lang w:val="en-GB"/>
        </w:rPr>
        <w:t>, 3215-3230.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Uhr, L. &amp; Miller, J.G. (1960) Experimentally determined effects of emylcamate (striatran) on performance, autonomic response, and subjective reactions under stress. </w:t>
      </w:r>
      <w:r>
        <w:rPr>
          <w:rFonts w:ascii="Arial" w:hAnsi="Arial"/>
          <w:i/>
          <w:sz w:val="24"/>
          <w:szCs w:val="24"/>
          <w:lang w:val="en-GB"/>
        </w:rPr>
        <w:t>Am J Med Sci</w:t>
      </w:r>
      <w:r>
        <w:rPr>
          <w:rFonts w:ascii="Arial" w:hAnsi="Arial"/>
          <w:sz w:val="24"/>
          <w:szCs w:val="24"/>
          <w:lang w:val="en-GB"/>
        </w:rPr>
        <w:t xml:space="preserve">, </w:t>
      </w:r>
      <w:r>
        <w:rPr>
          <w:rFonts w:ascii="Arial" w:hAnsi="Arial"/>
          <w:b/>
          <w:sz w:val="24"/>
          <w:szCs w:val="24"/>
          <w:lang w:val="en-GB"/>
        </w:rPr>
        <w:t>240</w:t>
      </w:r>
      <w:r>
        <w:rPr>
          <w:rFonts w:ascii="Arial" w:hAnsi="Arial"/>
          <w:sz w:val="24"/>
          <w:szCs w:val="24"/>
          <w:lang w:val="en-GB"/>
        </w:rPr>
        <w:t>, 204-212.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Vallar, G., Bisiach, E., Cerizza, M. &amp; Rusconi, M.L. (1988) The role of the left hemisphere in decision-making. </w:t>
      </w:r>
      <w:r>
        <w:rPr>
          <w:rFonts w:ascii="Arial" w:hAnsi="Arial"/>
          <w:i/>
          <w:sz w:val="24"/>
          <w:szCs w:val="24"/>
          <w:lang w:val="en-GB"/>
        </w:rPr>
        <w:t>Cortex</w:t>
      </w:r>
      <w:r>
        <w:rPr>
          <w:rFonts w:ascii="Arial" w:hAnsi="Arial"/>
          <w:sz w:val="24"/>
          <w:szCs w:val="24"/>
          <w:lang w:val="en-GB"/>
        </w:rPr>
        <w:t xml:space="preserve">, </w:t>
      </w:r>
      <w:r>
        <w:rPr>
          <w:rFonts w:ascii="Arial" w:hAnsi="Arial"/>
          <w:b/>
          <w:sz w:val="24"/>
          <w:szCs w:val="24"/>
          <w:lang w:val="en-GB"/>
        </w:rPr>
        <w:t>24</w:t>
      </w:r>
      <w:r>
        <w:rPr>
          <w:rFonts w:ascii="Arial" w:hAnsi="Arial"/>
          <w:sz w:val="24"/>
          <w:szCs w:val="24"/>
          <w:lang w:val="en-GB"/>
        </w:rPr>
        <w:t>, 399-410.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Vidyasagar, T.R. &amp; Stuart, G.W. (1993) Perceptual learning in seeing form from motion. </w:t>
      </w:r>
      <w:r>
        <w:rPr>
          <w:rFonts w:ascii="Arial" w:hAnsi="Arial"/>
          <w:i/>
          <w:sz w:val="24"/>
          <w:szCs w:val="24"/>
          <w:lang w:val="en-GB"/>
        </w:rPr>
        <w:t>Proc Biol Sci</w:t>
      </w:r>
      <w:r>
        <w:rPr>
          <w:rFonts w:ascii="Arial" w:hAnsi="Arial"/>
          <w:sz w:val="24"/>
          <w:szCs w:val="24"/>
          <w:lang w:val="en-GB"/>
        </w:rPr>
        <w:t xml:space="preserve">, </w:t>
      </w:r>
      <w:r>
        <w:rPr>
          <w:rFonts w:ascii="Arial" w:hAnsi="Arial"/>
          <w:b/>
          <w:sz w:val="24"/>
          <w:szCs w:val="24"/>
          <w:lang w:val="en-GB"/>
        </w:rPr>
        <w:t>254</w:t>
      </w:r>
      <w:r>
        <w:rPr>
          <w:rFonts w:ascii="Arial" w:hAnsi="Arial"/>
          <w:sz w:val="24"/>
          <w:szCs w:val="24"/>
          <w:lang w:val="en-GB"/>
        </w:rPr>
        <w:t>, 241-244.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Vogels, R. &amp; Orban, G.A. (1985) The effect of practice on the oblique effect in line orientation judgments.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25</w:t>
      </w:r>
      <w:r>
        <w:rPr>
          <w:rFonts w:ascii="Arial" w:hAnsi="Arial"/>
          <w:sz w:val="24"/>
          <w:szCs w:val="24"/>
          <w:lang w:val="en-GB"/>
        </w:rPr>
        <w:t>, 1679-1687.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Vogt, B.A. &amp; Pandya, D.N. (1987) Cingulate cortex of the rhesus monkey: II. Cortical afferents.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262</w:t>
      </w:r>
      <w:r>
        <w:rPr>
          <w:rFonts w:ascii="Arial" w:hAnsi="Arial"/>
          <w:sz w:val="24"/>
          <w:szCs w:val="24"/>
          <w:lang w:val="en-GB"/>
        </w:rPr>
        <w:t>, 271-289.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Wang, Q., Cavanagh, P. &amp; Green, M. (1994) Familiarity and pop-out in visual search.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56</w:t>
      </w:r>
      <w:r>
        <w:rPr>
          <w:rFonts w:ascii="Arial" w:hAnsi="Arial"/>
          <w:sz w:val="24"/>
          <w:szCs w:val="24"/>
          <w:lang w:val="en-GB"/>
        </w:rPr>
        <w:t>, 495-500.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Warm, J.S., Chin, K., Dittmar, M.L. &amp; Dember, W.N. (1987) Effects of head restraint on signal detectability in simultaneous and successive vigilance tasks. </w:t>
      </w:r>
      <w:r>
        <w:rPr>
          <w:rFonts w:ascii="Arial" w:hAnsi="Arial"/>
          <w:i/>
          <w:sz w:val="24"/>
          <w:szCs w:val="24"/>
          <w:lang w:val="en-GB"/>
        </w:rPr>
        <w:t>J Gen Psychol</w:t>
      </w:r>
      <w:r>
        <w:rPr>
          <w:rFonts w:ascii="Arial" w:hAnsi="Arial"/>
          <w:sz w:val="24"/>
          <w:szCs w:val="24"/>
          <w:lang w:val="en-GB"/>
        </w:rPr>
        <w:t xml:space="preserve">, </w:t>
      </w:r>
      <w:r>
        <w:rPr>
          <w:rFonts w:ascii="Arial" w:hAnsi="Arial"/>
          <w:b/>
          <w:sz w:val="24"/>
          <w:szCs w:val="24"/>
          <w:lang w:val="en-GB"/>
        </w:rPr>
        <w:t>114</w:t>
      </w:r>
      <w:r>
        <w:rPr>
          <w:rFonts w:ascii="Arial" w:hAnsi="Arial"/>
          <w:sz w:val="24"/>
          <w:szCs w:val="24"/>
          <w:lang w:val="en-GB"/>
        </w:rPr>
        <w:t>, 423-431.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Watanabe, T., Nanez, J.E. &amp; Sasaki, Y. (2001) Perceptual learning without perception.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413</w:t>
      </w:r>
      <w:r>
        <w:rPr>
          <w:rFonts w:ascii="Arial" w:hAnsi="Arial"/>
          <w:sz w:val="24"/>
          <w:szCs w:val="24"/>
          <w:lang w:val="en-GB"/>
        </w:rPr>
        <w:t>, 844-848.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Watson, R.T., Heilman, K.M., Cauthen, J.C. &amp; King, F.A. (1973) Neglect after cingulectomy. </w:t>
      </w:r>
      <w:r>
        <w:rPr>
          <w:rFonts w:ascii="Arial" w:hAnsi="Arial"/>
          <w:i/>
          <w:sz w:val="24"/>
          <w:szCs w:val="24"/>
          <w:lang w:val="en-GB"/>
        </w:rPr>
        <w:t>Neurology</w:t>
      </w:r>
      <w:r>
        <w:rPr>
          <w:rFonts w:ascii="Arial" w:hAnsi="Arial"/>
          <w:sz w:val="24"/>
          <w:szCs w:val="24"/>
          <w:lang w:val="en-GB"/>
        </w:rPr>
        <w:t xml:space="preserve">, </w:t>
      </w:r>
      <w:r>
        <w:rPr>
          <w:rFonts w:ascii="Arial" w:hAnsi="Arial"/>
          <w:b/>
          <w:sz w:val="24"/>
          <w:szCs w:val="24"/>
          <w:lang w:val="en-GB"/>
        </w:rPr>
        <w:t>23</w:t>
      </w:r>
      <w:r>
        <w:rPr>
          <w:rFonts w:ascii="Arial" w:hAnsi="Arial"/>
          <w:sz w:val="24"/>
          <w:szCs w:val="24"/>
          <w:lang w:val="en-GB"/>
        </w:rPr>
        <w:t>, 1003-1007.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Wurtz, R.H. &amp; Goldberg, M.E. (1972) The primate superior colliculus and the shift of visual attention. </w:t>
      </w:r>
      <w:r>
        <w:rPr>
          <w:rFonts w:ascii="Arial" w:hAnsi="Arial"/>
          <w:i/>
          <w:sz w:val="24"/>
          <w:szCs w:val="24"/>
          <w:lang w:val="en-GB"/>
        </w:rPr>
        <w:t>Invest Ophthalmol</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441-450.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Wurtz, R.H. &amp; Mohler, C.W. (1976) Enhancement of visual responses in monkey striate cortex and frontal eye fields.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766-772.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Wurtz, R.H. &amp; Mohler, C.W. (1976) Organization of monkey superior colliculus: enhanced visual response of superficial layer cells.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745-765.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Xiao, L.Q., Zhang, J.Y., Wang, R., Klein, S.A., Levi, D.M. &amp; Yu, C. (2008) Complete transfer of perceptual learning across retinal locations enabled by double training. </w:t>
      </w:r>
      <w:r>
        <w:rPr>
          <w:rFonts w:ascii="Arial" w:hAnsi="Arial"/>
          <w:i/>
          <w:sz w:val="24"/>
          <w:szCs w:val="24"/>
          <w:lang w:val="en-GB"/>
        </w:rPr>
        <w:t>Curr Biol</w:t>
      </w:r>
      <w:r>
        <w:rPr>
          <w:rFonts w:ascii="Arial" w:hAnsi="Arial"/>
          <w:sz w:val="24"/>
          <w:szCs w:val="24"/>
          <w:lang w:val="en-GB"/>
        </w:rPr>
        <w:t xml:space="preserve">, </w:t>
      </w:r>
      <w:r>
        <w:rPr>
          <w:rFonts w:ascii="Arial" w:hAnsi="Arial"/>
          <w:b/>
          <w:sz w:val="24"/>
          <w:szCs w:val="24"/>
          <w:lang w:val="en-GB"/>
        </w:rPr>
        <w:t>18</w:t>
      </w:r>
      <w:r>
        <w:rPr>
          <w:rFonts w:ascii="Arial" w:hAnsi="Arial"/>
          <w:sz w:val="24"/>
          <w:szCs w:val="24"/>
          <w:lang w:val="en-GB"/>
        </w:rPr>
        <w:t>, 1922-1926.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Yang, T. &amp; Maunsell, J.H. (2004) The effect of perceptual learning on neuronal responses in monkey visual area V4.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24</w:t>
      </w:r>
      <w:r>
        <w:rPr>
          <w:rFonts w:ascii="Arial" w:hAnsi="Arial"/>
          <w:sz w:val="24"/>
          <w:szCs w:val="24"/>
          <w:lang w:val="en-GB"/>
        </w:rPr>
        <w:t>, 1617-1626.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Yin, T.C. &amp; Mountcastle, V.B. (1977) Visual input to the visuomotor mechanisms of the monkey's parietal lobe.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197</w:t>
      </w:r>
      <w:r>
        <w:rPr>
          <w:rFonts w:ascii="Arial" w:hAnsi="Arial"/>
          <w:sz w:val="24"/>
          <w:szCs w:val="24"/>
          <w:lang w:val="en-GB"/>
        </w:rPr>
        <w:t>, 1381-1383.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Yotsumoto, Y., Watanabe, T. &amp; Sasaki, Y. (2008) Different dynamics of performance and brain activation in the time course of perceptual learning.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57</w:t>
      </w:r>
      <w:r>
        <w:rPr>
          <w:rFonts w:ascii="Arial" w:hAnsi="Arial"/>
          <w:sz w:val="24"/>
          <w:szCs w:val="24"/>
          <w:lang w:val="en-GB"/>
        </w:rPr>
        <w:t>, 827-833.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Zhang, T., Xiao, L.Q., Klein, S.A., Levi, D.M. &amp; Yu, C. (2010) Decoupling location specificity from perceptual learning of orientation discrimination.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50</w:t>
      </w:r>
      <w:r>
        <w:rPr>
          <w:rFonts w:ascii="Arial" w:hAnsi="Arial"/>
          <w:sz w:val="24"/>
          <w:szCs w:val="24"/>
          <w:lang w:val="en-GB"/>
        </w:rPr>
        <w:t>, 368-374.</w:t>
      </w:r>
    </w:p>
    <w:p w:rsidR="00125F72" w:rsidRDefault="00125F72" w:rsidP="00EF5785">
      <w:pPr>
        <w:autoSpaceDE w:val="0"/>
        <w:autoSpaceDN w:val="0"/>
        <w:adjustRightInd w:val="0"/>
        <w:spacing w:line="240" w:lineRule="auto"/>
        <w:jc w:val="both"/>
        <w:rPr>
          <w:rFonts w:ascii="Arial" w:hAnsi="Arial"/>
          <w:sz w:val="24"/>
          <w:szCs w:val="24"/>
          <w:lang w:val="en-GB"/>
        </w:rPr>
      </w:pPr>
    </w:p>
    <w:p w:rsidR="0035318C" w:rsidRPr="00EF5785"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Zohary, E., Celebrini, S., Britten, K.H. &amp; Newsome, W.T. (1994) Neuronal plasticity that underlies improvement in perceptual performance.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263</w:t>
      </w:r>
      <w:r w:rsidR="00EF5785">
        <w:rPr>
          <w:rFonts w:ascii="Arial" w:hAnsi="Arial"/>
          <w:sz w:val="24"/>
          <w:szCs w:val="24"/>
          <w:lang w:val="en-GB"/>
        </w:rPr>
        <w:t>, 1289-1292.</w:t>
      </w:r>
    </w:p>
    <w:sectPr w:rsidR="0035318C" w:rsidRPr="00EF5785" w:rsidSect="002F6313">
      <w:footerReference w:type="default" r:id="rId47"/>
      <w:pgSz w:w="11906" w:h="16838"/>
      <w:pgMar w:top="1418" w:right="1134" w:bottom="1134" w:left="1701"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951" w:rsidRDefault="00642951" w:rsidP="00694386">
      <w:pPr>
        <w:spacing w:line="240" w:lineRule="auto"/>
      </w:pPr>
      <w:r>
        <w:separator/>
      </w:r>
    </w:p>
  </w:endnote>
  <w:endnote w:type="continuationSeparator" w:id="0">
    <w:p w:rsidR="00642951" w:rsidRDefault="00642951" w:rsidP="00694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charset w:val="00"/>
    <w:family w:val="roman"/>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5819"/>
      <w:docPartObj>
        <w:docPartGallery w:val="Page Numbers (Bottom of Page)"/>
        <w:docPartUnique/>
      </w:docPartObj>
    </w:sdtPr>
    <w:sdtEndPr/>
    <w:sdtContent>
      <w:p w:rsidR="00B171C8" w:rsidRDefault="00B171C8">
        <w:pPr>
          <w:pStyle w:val="Footer"/>
          <w:jc w:val="center"/>
        </w:pPr>
        <w:r>
          <w:fldChar w:fldCharType="begin"/>
        </w:r>
        <w:r>
          <w:instrText xml:space="preserve"> PAGE   \* MERGEFORMAT </w:instrText>
        </w:r>
        <w:r>
          <w:fldChar w:fldCharType="separate"/>
        </w:r>
        <w:r w:rsidR="002B7A4E">
          <w:rPr>
            <w:noProof/>
          </w:rPr>
          <w:t>2</w:t>
        </w:r>
        <w:r>
          <w:rPr>
            <w:noProof/>
          </w:rPr>
          <w:fldChar w:fldCharType="end"/>
        </w:r>
      </w:p>
    </w:sdtContent>
  </w:sdt>
  <w:p w:rsidR="00B171C8" w:rsidRDefault="00B171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951" w:rsidRDefault="00642951" w:rsidP="00694386">
      <w:pPr>
        <w:spacing w:line="240" w:lineRule="auto"/>
      </w:pPr>
      <w:r>
        <w:separator/>
      </w:r>
    </w:p>
  </w:footnote>
  <w:footnote w:type="continuationSeparator" w:id="0">
    <w:p w:rsidR="00642951" w:rsidRDefault="00642951" w:rsidP="0069438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3E1"/>
    <w:rsid w:val="00000A6A"/>
    <w:rsid w:val="00003364"/>
    <w:rsid w:val="0001686F"/>
    <w:rsid w:val="00016CC8"/>
    <w:rsid w:val="000262BE"/>
    <w:rsid w:val="00034946"/>
    <w:rsid w:val="00034CD3"/>
    <w:rsid w:val="000773D4"/>
    <w:rsid w:val="00084966"/>
    <w:rsid w:val="00087842"/>
    <w:rsid w:val="0009380B"/>
    <w:rsid w:val="00101998"/>
    <w:rsid w:val="00125F72"/>
    <w:rsid w:val="00150B99"/>
    <w:rsid w:val="00150DAD"/>
    <w:rsid w:val="00186E91"/>
    <w:rsid w:val="00196DE8"/>
    <w:rsid w:val="001E3ECB"/>
    <w:rsid w:val="001E4FCF"/>
    <w:rsid w:val="001E6ED2"/>
    <w:rsid w:val="00204FAC"/>
    <w:rsid w:val="002061A9"/>
    <w:rsid w:val="00223C22"/>
    <w:rsid w:val="002323DA"/>
    <w:rsid w:val="00255CC3"/>
    <w:rsid w:val="00271606"/>
    <w:rsid w:val="0029460E"/>
    <w:rsid w:val="002A34F9"/>
    <w:rsid w:val="002B5838"/>
    <w:rsid w:val="002B7A4E"/>
    <w:rsid w:val="002F6313"/>
    <w:rsid w:val="00303330"/>
    <w:rsid w:val="0035318C"/>
    <w:rsid w:val="003956CB"/>
    <w:rsid w:val="00396075"/>
    <w:rsid w:val="003F54BA"/>
    <w:rsid w:val="00406E14"/>
    <w:rsid w:val="00422096"/>
    <w:rsid w:val="004429AB"/>
    <w:rsid w:val="00452C0E"/>
    <w:rsid w:val="004928AA"/>
    <w:rsid w:val="004952A6"/>
    <w:rsid w:val="004B2D50"/>
    <w:rsid w:val="004B7A29"/>
    <w:rsid w:val="004E6429"/>
    <w:rsid w:val="004E6570"/>
    <w:rsid w:val="00531E8A"/>
    <w:rsid w:val="00561484"/>
    <w:rsid w:val="00580C98"/>
    <w:rsid w:val="0059478D"/>
    <w:rsid w:val="005A3C11"/>
    <w:rsid w:val="005B1381"/>
    <w:rsid w:val="005D4A47"/>
    <w:rsid w:val="005E72E9"/>
    <w:rsid w:val="005F4CA6"/>
    <w:rsid w:val="0060055E"/>
    <w:rsid w:val="006122F2"/>
    <w:rsid w:val="00614961"/>
    <w:rsid w:val="006246CC"/>
    <w:rsid w:val="00642951"/>
    <w:rsid w:val="00650134"/>
    <w:rsid w:val="006840C3"/>
    <w:rsid w:val="00690436"/>
    <w:rsid w:val="00691168"/>
    <w:rsid w:val="00694386"/>
    <w:rsid w:val="006A37F5"/>
    <w:rsid w:val="006C77AC"/>
    <w:rsid w:val="006E43E1"/>
    <w:rsid w:val="0072737C"/>
    <w:rsid w:val="00762CE0"/>
    <w:rsid w:val="007E6FD9"/>
    <w:rsid w:val="007F4B6F"/>
    <w:rsid w:val="008058A9"/>
    <w:rsid w:val="00813A32"/>
    <w:rsid w:val="008363AC"/>
    <w:rsid w:val="00851DCA"/>
    <w:rsid w:val="00867A47"/>
    <w:rsid w:val="00875912"/>
    <w:rsid w:val="008A022F"/>
    <w:rsid w:val="008D68F2"/>
    <w:rsid w:val="008F0F82"/>
    <w:rsid w:val="00904C41"/>
    <w:rsid w:val="00914A94"/>
    <w:rsid w:val="00981F50"/>
    <w:rsid w:val="009B4A4C"/>
    <w:rsid w:val="009E58A5"/>
    <w:rsid w:val="009E6248"/>
    <w:rsid w:val="00A11513"/>
    <w:rsid w:val="00A15CBD"/>
    <w:rsid w:val="00A31188"/>
    <w:rsid w:val="00A73FA7"/>
    <w:rsid w:val="00A75AAE"/>
    <w:rsid w:val="00AA27C3"/>
    <w:rsid w:val="00AB1506"/>
    <w:rsid w:val="00AD4E32"/>
    <w:rsid w:val="00AE6879"/>
    <w:rsid w:val="00AF70AE"/>
    <w:rsid w:val="00B171C8"/>
    <w:rsid w:val="00B3659E"/>
    <w:rsid w:val="00B56A3D"/>
    <w:rsid w:val="00B70AE7"/>
    <w:rsid w:val="00BA6D0A"/>
    <w:rsid w:val="00BC25D3"/>
    <w:rsid w:val="00BD4B16"/>
    <w:rsid w:val="00BE20BE"/>
    <w:rsid w:val="00C33992"/>
    <w:rsid w:val="00C474F7"/>
    <w:rsid w:val="00C6055A"/>
    <w:rsid w:val="00C77AF6"/>
    <w:rsid w:val="00CC2463"/>
    <w:rsid w:val="00CC3A24"/>
    <w:rsid w:val="00CD2A4D"/>
    <w:rsid w:val="00D12FC0"/>
    <w:rsid w:val="00D13282"/>
    <w:rsid w:val="00D34194"/>
    <w:rsid w:val="00D567AA"/>
    <w:rsid w:val="00D71A77"/>
    <w:rsid w:val="00D80848"/>
    <w:rsid w:val="00D926E4"/>
    <w:rsid w:val="00DE1684"/>
    <w:rsid w:val="00E10E76"/>
    <w:rsid w:val="00E332CE"/>
    <w:rsid w:val="00E33984"/>
    <w:rsid w:val="00E83115"/>
    <w:rsid w:val="00E90756"/>
    <w:rsid w:val="00E96A30"/>
    <w:rsid w:val="00EB559F"/>
    <w:rsid w:val="00EC08DB"/>
    <w:rsid w:val="00EC205D"/>
    <w:rsid w:val="00ED1D02"/>
    <w:rsid w:val="00ED4A6F"/>
    <w:rsid w:val="00EF5785"/>
    <w:rsid w:val="00F10596"/>
    <w:rsid w:val="00F27360"/>
    <w:rsid w:val="00F3260A"/>
    <w:rsid w:val="00F3618F"/>
    <w:rsid w:val="00F52D31"/>
    <w:rsid w:val="00F606B6"/>
    <w:rsid w:val="00F73881"/>
    <w:rsid w:val="00FB1CC0"/>
    <w:rsid w:val="00FD4D5D"/>
    <w:rsid w:val="00FE1546"/>
    <w:rsid w:val="00FE1802"/>
    <w:rsid w:val="00FE18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74A3B-045B-4296-B9E9-39A1DE5C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line="360"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43E1"/>
    <w:pPr>
      <w:spacing w:before="100" w:beforeAutospacing="1" w:after="119" w:line="240" w:lineRule="auto"/>
    </w:pPr>
    <w:rPr>
      <w:rFonts w:ascii="Times New Roman" w:eastAsia="Times New Roman" w:hAnsi="Times New Roman" w:cs="Times New Roman"/>
      <w:sz w:val="24"/>
      <w:szCs w:val="24"/>
      <w:lang w:eastAsia="it-IT"/>
    </w:rPr>
  </w:style>
  <w:style w:type="table" w:styleId="TableGrid">
    <w:name w:val="Table Grid"/>
    <w:basedOn w:val="TableNormal"/>
    <w:uiPriority w:val="59"/>
    <w:rsid w:val="00255CC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694386"/>
    <w:pPr>
      <w:tabs>
        <w:tab w:val="center" w:pos="4819"/>
        <w:tab w:val="right" w:pos="9638"/>
      </w:tabs>
      <w:spacing w:line="240" w:lineRule="auto"/>
    </w:pPr>
  </w:style>
  <w:style w:type="character" w:customStyle="1" w:styleId="HeaderChar">
    <w:name w:val="Header Char"/>
    <w:basedOn w:val="DefaultParagraphFont"/>
    <w:link w:val="Header"/>
    <w:uiPriority w:val="99"/>
    <w:semiHidden/>
    <w:rsid w:val="00694386"/>
  </w:style>
  <w:style w:type="paragraph" w:styleId="Footer">
    <w:name w:val="footer"/>
    <w:basedOn w:val="Normal"/>
    <w:link w:val="FooterChar"/>
    <w:uiPriority w:val="99"/>
    <w:unhideWhenUsed/>
    <w:rsid w:val="00694386"/>
    <w:pPr>
      <w:tabs>
        <w:tab w:val="center" w:pos="4819"/>
        <w:tab w:val="right" w:pos="9638"/>
      </w:tabs>
      <w:spacing w:line="240" w:lineRule="auto"/>
    </w:pPr>
  </w:style>
  <w:style w:type="character" w:customStyle="1" w:styleId="FooterChar">
    <w:name w:val="Footer Char"/>
    <w:basedOn w:val="DefaultParagraphFont"/>
    <w:link w:val="Footer"/>
    <w:uiPriority w:val="99"/>
    <w:rsid w:val="00694386"/>
  </w:style>
  <w:style w:type="paragraph" w:styleId="BalloonText">
    <w:name w:val="Balloon Text"/>
    <w:basedOn w:val="Normal"/>
    <w:link w:val="BalloonTextChar"/>
    <w:uiPriority w:val="99"/>
    <w:semiHidden/>
    <w:unhideWhenUsed/>
    <w:rsid w:val="00531E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E8A"/>
    <w:rPr>
      <w:rFonts w:ascii="Tahoma" w:hAnsi="Tahoma" w:cs="Tahoma"/>
      <w:sz w:val="16"/>
      <w:szCs w:val="16"/>
    </w:rPr>
  </w:style>
  <w:style w:type="character" w:customStyle="1" w:styleId="apple-converted-space">
    <w:name w:val="apple-converted-space"/>
    <w:basedOn w:val="DefaultParagraphFont"/>
    <w:rsid w:val="00395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6904">
      <w:bodyDiv w:val="1"/>
      <w:marLeft w:val="0"/>
      <w:marRight w:val="0"/>
      <w:marTop w:val="0"/>
      <w:marBottom w:val="0"/>
      <w:divBdr>
        <w:top w:val="none" w:sz="0" w:space="0" w:color="auto"/>
        <w:left w:val="none" w:sz="0" w:space="0" w:color="auto"/>
        <w:bottom w:val="none" w:sz="0" w:space="0" w:color="auto"/>
        <w:right w:val="none" w:sz="0" w:space="0" w:color="auto"/>
      </w:divBdr>
    </w:div>
    <w:div w:id="133908307">
      <w:bodyDiv w:val="1"/>
      <w:marLeft w:val="0"/>
      <w:marRight w:val="0"/>
      <w:marTop w:val="0"/>
      <w:marBottom w:val="0"/>
      <w:divBdr>
        <w:top w:val="none" w:sz="0" w:space="0" w:color="auto"/>
        <w:left w:val="none" w:sz="0" w:space="0" w:color="auto"/>
        <w:bottom w:val="none" w:sz="0" w:space="0" w:color="auto"/>
        <w:right w:val="none" w:sz="0" w:space="0" w:color="auto"/>
      </w:divBdr>
    </w:div>
    <w:div w:id="134611873">
      <w:bodyDiv w:val="1"/>
      <w:marLeft w:val="0"/>
      <w:marRight w:val="0"/>
      <w:marTop w:val="0"/>
      <w:marBottom w:val="0"/>
      <w:divBdr>
        <w:top w:val="none" w:sz="0" w:space="0" w:color="auto"/>
        <w:left w:val="none" w:sz="0" w:space="0" w:color="auto"/>
        <w:bottom w:val="none" w:sz="0" w:space="0" w:color="auto"/>
        <w:right w:val="none" w:sz="0" w:space="0" w:color="auto"/>
      </w:divBdr>
    </w:div>
    <w:div w:id="213855305">
      <w:bodyDiv w:val="1"/>
      <w:marLeft w:val="0"/>
      <w:marRight w:val="0"/>
      <w:marTop w:val="0"/>
      <w:marBottom w:val="0"/>
      <w:divBdr>
        <w:top w:val="none" w:sz="0" w:space="0" w:color="auto"/>
        <w:left w:val="none" w:sz="0" w:space="0" w:color="auto"/>
        <w:bottom w:val="none" w:sz="0" w:space="0" w:color="auto"/>
        <w:right w:val="none" w:sz="0" w:space="0" w:color="auto"/>
      </w:divBdr>
    </w:div>
    <w:div w:id="220946545">
      <w:bodyDiv w:val="1"/>
      <w:marLeft w:val="0"/>
      <w:marRight w:val="0"/>
      <w:marTop w:val="0"/>
      <w:marBottom w:val="0"/>
      <w:divBdr>
        <w:top w:val="none" w:sz="0" w:space="0" w:color="auto"/>
        <w:left w:val="none" w:sz="0" w:space="0" w:color="auto"/>
        <w:bottom w:val="none" w:sz="0" w:space="0" w:color="auto"/>
        <w:right w:val="none" w:sz="0" w:space="0" w:color="auto"/>
      </w:divBdr>
    </w:div>
    <w:div w:id="228468752">
      <w:bodyDiv w:val="1"/>
      <w:marLeft w:val="0"/>
      <w:marRight w:val="0"/>
      <w:marTop w:val="0"/>
      <w:marBottom w:val="0"/>
      <w:divBdr>
        <w:top w:val="none" w:sz="0" w:space="0" w:color="auto"/>
        <w:left w:val="none" w:sz="0" w:space="0" w:color="auto"/>
        <w:bottom w:val="none" w:sz="0" w:space="0" w:color="auto"/>
        <w:right w:val="none" w:sz="0" w:space="0" w:color="auto"/>
      </w:divBdr>
    </w:div>
    <w:div w:id="256669947">
      <w:bodyDiv w:val="1"/>
      <w:marLeft w:val="0"/>
      <w:marRight w:val="0"/>
      <w:marTop w:val="0"/>
      <w:marBottom w:val="0"/>
      <w:divBdr>
        <w:top w:val="none" w:sz="0" w:space="0" w:color="auto"/>
        <w:left w:val="none" w:sz="0" w:space="0" w:color="auto"/>
        <w:bottom w:val="none" w:sz="0" w:space="0" w:color="auto"/>
        <w:right w:val="none" w:sz="0" w:space="0" w:color="auto"/>
      </w:divBdr>
    </w:div>
    <w:div w:id="312756431">
      <w:bodyDiv w:val="1"/>
      <w:marLeft w:val="0"/>
      <w:marRight w:val="0"/>
      <w:marTop w:val="0"/>
      <w:marBottom w:val="0"/>
      <w:divBdr>
        <w:top w:val="none" w:sz="0" w:space="0" w:color="auto"/>
        <w:left w:val="none" w:sz="0" w:space="0" w:color="auto"/>
        <w:bottom w:val="none" w:sz="0" w:space="0" w:color="auto"/>
        <w:right w:val="none" w:sz="0" w:space="0" w:color="auto"/>
      </w:divBdr>
    </w:div>
    <w:div w:id="329985881">
      <w:bodyDiv w:val="1"/>
      <w:marLeft w:val="0"/>
      <w:marRight w:val="0"/>
      <w:marTop w:val="0"/>
      <w:marBottom w:val="0"/>
      <w:divBdr>
        <w:top w:val="none" w:sz="0" w:space="0" w:color="auto"/>
        <w:left w:val="none" w:sz="0" w:space="0" w:color="auto"/>
        <w:bottom w:val="none" w:sz="0" w:space="0" w:color="auto"/>
        <w:right w:val="none" w:sz="0" w:space="0" w:color="auto"/>
      </w:divBdr>
    </w:div>
    <w:div w:id="333803067">
      <w:bodyDiv w:val="1"/>
      <w:marLeft w:val="0"/>
      <w:marRight w:val="0"/>
      <w:marTop w:val="0"/>
      <w:marBottom w:val="0"/>
      <w:divBdr>
        <w:top w:val="none" w:sz="0" w:space="0" w:color="auto"/>
        <w:left w:val="none" w:sz="0" w:space="0" w:color="auto"/>
        <w:bottom w:val="none" w:sz="0" w:space="0" w:color="auto"/>
        <w:right w:val="none" w:sz="0" w:space="0" w:color="auto"/>
      </w:divBdr>
    </w:div>
    <w:div w:id="385183871">
      <w:bodyDiv w:val="1"/>
      <w:marLeft w:val="0"/>
      <w:marRight w:val="0"/>
      <w:marTop w:val="0"/>
      <w:marBottom w:val="0"/>
      <w:divBdr>
        <w:top w:val="none" w:sz="0" w:space="0" w:color="auto"/>
        <w:left w:val="none" w:sz="0" w:space="0" w:color="auto"/>
        <w:bottom w:val="none" w:sz="0" w:space="0" w:color="auto"/>
        <w:right w:val="none" w:sz="0" w:space="0" w:color="auto"/>
      </w:divBdr>
    </w:div>
    <w:div w:id="423038612">
      <w:bodyDiv w:val="1"/>
      <w:marLeft w:val="0"/>
      <w:marRight w:val="0"/>
      <w:marTop w:val="0"/>
      <w:marBottom w:val="0"/>
      <w:divBdr>
        <w:top w:val="none" w:sz="0" w:space="0" w:color="auto"/>
        <w:left w:val="none" w:sz="0" w:space="0" w:color="auto"/>
        <w:bottom w:val="none" w:sz="0" w:space="0" w:color="auto"/>
        <w:right w:val="none" w:sz="0" w:space="0" w:color="auto"/>
      </w:divBdr>
    </w:div>
    <w:div w:id="520978412">
      <w:bodyDiv w:val="1"/>
      <w:marLeft w:val="0"/>
      <w:marRight w:val="0"/>
      <w:marTop w:val="0"/>
      <w:marBottom w:val="0"/>
      <w:divBdr>
        <w:top w:val="none" w:sz="0" w:space="0" w:color="auto"/>
        <w:left w:val="none" w:sz="0" w:space="0" w:color="auto"/>
        <w:bottom w:val="none" w:sz="0" w:space="0" w:color="auto"/>
        <w:right w:val="none" w:sz="0" w:space="0" w:color="auto"/>
      </w:divBdr>
    </w:div>
    <w:div w:id="565845828">
      <w:bodyDiv w:val="1"/>
      <w:marLeft w:val="0"/>
      <w:marRight w:val="0"/>
      <w:marTop w:val="0"/>
      <w:marBottom w:val="0"/>
      <w:divBdr>
        <w:top w:val="none" w:sz="0" w:space="0" w:color="auto"/>
        <w:left w:val="none" w:sz="0" w:space="0" w:color="auto"/>
        <w:bottom w:val="none" w:sz="0" w:space="0" w:color="auto"/>
        <w:right w:val="none" w:sz="0" w:space="0" w:color="auto"/>
      </w:divBdr>
    </w:div>
    <w:div w:id="570584746">
      <w:bodyDiv w:val="1"/>
      <w:marLeft w:val="0"/>
      <w:marRight w:val="0"/>
      <w:marTop w:val="0"/>
      <w:marBottom w:val="0"/>
      <w:divBdr>
        <w:top w:val="none" w:sz="0" w:space="0" w:color="auto"/>
        <w:left w:val="none" w:sz="0" w:space="0" w:color="auto"/>
        <w:bottom w:val="none" w:sz="0" w:space="0" w:color="auto"/>
        <w:right w:val="none" w:sz="0" w:space="0" w:color="auto"/>
      </w:divBdr>
    </w:div>
    <w:div w:id="604384417">
      <w:bodyDiv w:val="1"/>
      <w:marLeft w:val="0"/>
      <w:marRight w:val="0"/>
      <w:marTop w:val="0"/>
      <w:marBottom w:val="0"/>
      <w:divBdr>
        <w:top w:val="none" w:sz="0" w:space="0" w:color="auto"/>
        <w:left w:val="none" w:sz="0" w:space="0" w:color="auto"/>
        <w:bottom w:val="none" w:sz="0" w:space="0" w:color="auto"/>
        <w:right w:val="none" w:sz="0" w:space="0" w:color="auto"/>
      </w:divBdr>
    </w:div>
    <w:div w:id="606740322">
      <w:bodyDiv w:val="1"/>
      <w:marLeft w:val="0"/>
      <w:marRight w:val="0"/>
      <w:marTop w:val="0"/>
      <w:marBottom w:val="0"/>
      <w:divBdr>
        <w:top w:val="none" w:sz="0" w:space="0" w:color="auto"/>
        <w:left w:val="none" w:sz="0" w:space="0" w:color="auto"/>
        <w:bottom w:val="none" w:sz="0" w:space="0" w:color="auto"/>
        <w:right w:val="none" w:sz="0" w:space="0" w:color="auto"/>
      </w:divBdr>
    </w:div>
    <w:div w:id="637151218">
      <w:bodyDiv w:val="1"/>
      <w:marLeft w:val="0"/>
      <w:marRight w:val="0"/>
      <w:marTop w:val="0"/>
      <w:marBottom w:val="0"/>
      <w:divBdr>
        <w:top w:val="none" w:sz="0" w:space="0" w:color="auto"/>
        <w:left w:val="none" w:sz="0" w:space="0" w:color="auto"/>
        <w:bottom w:val="none" w:sz="0" w:space="0" w:color="auto"/>
        <w:right w:val="none" w:sz="0" w:space="0" w:color="auto"/>
      </w:divBdr>
    </w:div>
    <w:div w:id="648829239">
      <w:bodyDiv w:val="1"/>
      <w:marLeft w:val="0"/>
      <w:marRight w:val="0"/>
      <w:marTop w:val="0"/>
      <w:marBottom w:val="0"/>
      <w:divBdr>
        <w:top w:val="none" w:sz="0" w:space="0" w:color="auto"/>
        <w:left w:val="none" w:sz="0" w:space="0" w:color="auto"/>
        <w:bottom w:val="none" w:sz="0" w:space="0" w:color="auto"/>
        <w:right w:val="none" w:sz="0" w:space="0" w:color="auto"/>
      </w:divBdr>
    </w:div>
    <w:div w:id="699864466">
      <w:bodyDiv w:val="1"/>
      <w:marLeft w:val="0"/>
      <w:marRight w:val="0"/>
      <w:marTop w:val="0"/>
      <w:marBottom w:val="0"/>
      <w:divBdr>
        <w:top w:val="none" w:sz="0" w:space="0" w:color="auto"/>
        <w:left w:val="none" w:sz="0" w:space="0" w:color="auto"/>
        <w:bottom w:val="none" w:sz="0" w:space="0" w:color="auto"/>
        <w:right w:val="none" w:sz="0" w:space="0" w:color="auto"/>
      </w:divBdr>
    </w:div>
    <w:div w:id="778376865">
      <w:bodyDiv w:val="1"/>
      <w:marLeft w:val="0"/>
      <w:marRight w:val="0"/>
      <w:marTop w:val="0"/>
      <w:marBottom w:val="0"/>
      <w:divBdr>
        <w:top w:val="none" w:sz="0" w:space="0" w:color="auto"/>
        <w:left w:val="none" w:sz="0" w:space="0" w:color="auto"/>
        <w:bottom w:val="none" w:sz="0" w:space="0" w:color="auto"/>
        <w:right w:val="none" w:sz="0" w:space="0" w:color="auto"/>
      </w:divBdr>
    </w:div>
    <w:div w:id="785739920">
      <w:bodyDiv w:val="1"/>
      <w:marLeft w:val="0"/>
      <w:marRight w:val="0"/>
      <w:marTop w:val="0"/>
      <w:marBottom w:val="0"/>
      <w:divBdr>
        <w:top w:val="none" w:sz="0" w:space="0" w:color="auto"/>
        <w:left w:val="none" w:sz="0" w:space="0" w:color="auto"/>
        <w:bottom w:val="none" w:sz="0" w:space="0" w:color="auto"/>
        <w:right w:val="none" w:sz="0" w:space="0" w:color="auto"/>
      </w:divBdr>
    </w:div>
    <w:div w:id="829443442">
      <w:bodyDiv w:val="1"/>
      <w:marLeft w:val="0"/>
      <w:marRight w:val="0"/>
      <w:marTop w:val="0"/>
      <w:marBottom w:val="0"/>
      <w:divBdr>
        <w:top w:val="none" w:sz="0" w:space="0" w:color="auto"/>
        <w:left w:val="none" w:sz="0" w:space="0" w:color="auto"/>
        <w:bottom w:val="none" w:sz="0" w:space="0" w:color="auto"/>
        <w:right w:val="none" w:sz="0" w:space="0" w:color="auto"/>
      </w:divBdr>
    </w:div>
    <w:div w:id="829519558">
      <w:bodyDiv w:val="1"/>
      <w:marLeft w:val="0"/>
      <w:marRight w:val="0"/>
      <w:marTop w:val="0"/>
      <w:marBottom w:val="0"/>
      <w:divBdr>
        <w:top w:val="none" w:sz="0" w:space="0" w:color="auto"/>
        <w:left w:val="none" w:sz="0" w:space="0" w:color="auto"/>
        <w:bottom w:val="none" w:sz="0" w:space="0" w:color="auto"/>
        <w:right w:val="none" w:sz="0" w:space="0" w:color="auto"/>
      </w:divBdr>
    </w:div>
    <w:div w:id="837381480">
      <w:bodyDiv w:val="1"/>
      <w:marLeft w:val="0"/>
      <w:marRight w:val="0"/>
      <w:marTop w:val="0"/>
      <w:marBottom w:val="0"/>
      <w:divBdr>
        <w:top w:val="none" w:sz="0" w:space="0" w:color="auto"/>
        <w:left w:val="none" w:sz="0" w:space="0" w:color="auto"/>
        <w:bottom w:val="none" w:sz="0" w:space="0" w:color="auto"/>
        <w:right w:val="none" w:sz="0" w:space="0" w:color="auto"/>
      </w:divBdr>
    </w:div>
    <w:div w:id="893851456">
      <w:bodyDiv w:val="1"/>
      <w:marLeft w:val="0"/>
      <w:marRight w:val="0"/>
      <w:marTop w:val="0"/>
      <w:marBottom w:val="0"/>
      <w:divBdr>
        <w:top w:val="none" w:sz="0" w:space="0" w:color="auto"/>
        <w:left w:val="none" w:sz="0" w:space="0" w:color="auto"/>
        <w:bottom w:val="none" w:sz="0" w:space="0" w:color="auto"/>
        <w:right w:val="none" w:sz="0" w:space="0" w:color="auto"/>
      </w:divBdr>
    </w:div>
    <w:div w:id="911700491">
      <w:bodyDiv w:val="1"/>
      <w:marLeft w:val="0"/>
      <w:marRight w:val="0"/>
      <w:marTop w:val="0"/>
      <w:marBottom w:val="0"/>
      <w:divBdr>
        <w:top w:val="none" w:sz="0" w:space="0" w:color="auto"/>
        <w:left w:val="none" w:sz="0" w:space="0" w:color="auto"/>
        <w:bottom w:val="none" w:sz="0" w:space="0" w:color="auto"/>
        <w:right w:val="none" w:sz="0" w:space="0" w:color="auto"/>
      </w:divBdr>
    </w:div>
    <w:div w:id="928201376">
      <w:bodyDiv w:val="1"/>
      <w:marLeft w:val="0"/>
      <w:marRight w:val="0"/>
      <w:marTop w:val="0"/>
      <w:marBottom w:val="0"/>
      <w:divBdr>
        <w:top w:val="none" w:sz="0" w:space="0" w:color="auto"/>
        <w:left w:val="none" w:sz="0" w:space="0" w:color="auto"/>
        <w:bottom w:val="none" w:sz="0" w:space="0" w:color="auto"/>
        <w:right w:val="none" w:sz="0" w:space="0" w:color="auto"/>
      </w:divBdr>
    </w:div>
    <w:div w:id="939069604">
      <w:bodyDiv w:val="1"/>
      <w:marLeft w:val="0"/>
      <w:marRight w:val="0"/>
      <w:marTop w:val="0"/>
      <w:marBottom w:val="0"/>
      <w:divBdr>
        <w:top w:val="none" w:sz="0" w:space="0" w:color="auto"/>
        <w:left w:val="none" w:sz="0" w:space="0" w:color="auto"/>
        <w:bottom w:val="none" w:sz="0" w:space="0" w:color="auto"/>
        <w:right w:val="none" w:sz="0" w:space="0" w:color="auto"/>
      </w:divBdr>
    </w:div>
    <w:div w:id="954865816">
      <w:bodyDiv w:val="1"/>
      <w:marLeft w:val="0"/>
      <w:marRight w:val="0"/>
      <w:marTop w:val="0"/>
      <w:marBottom w:val="0"/>
      <w:divBdr>
        <w:top w:val="none" w:sz="0" w:space="0" w:color="auto"/>
        <w:left w:val="none" w:sz="0" w:space="0" w:color="auto"/>
        <w:bottom w:val="none" w:sz="0" w:space="0" w:color="auto"/>
        <w:right w:val="none" w:sz="0" w:space="0" w:color="auto"/>
      </w:divBdr>
    </w:div>
    <w:div w:id="995374723">
      <w:bodyDiv w:val="1"/>
      <w:marLeft w:val="0"/>
      <w:marRight w:val="0"/>
      <w:marTop w:val="0"/>
      <w:marBottom w:val="0"/>
      <w:divBdr>
        <w:top w:val="none" w:sz="0" w:space="0" w:color="auto"/>
        <w:left w:val="none" w:sz="0" w:space="0" w:color="auto"/>
        <w:bottom w:val="none" w:sz="0" w:space="0" w:color="auto"/>
        <w:right w:val="none" w:sz="0" w:space="0" w:color="auto"/>
      </w:divBdr>
    </w:div>
    <w:div w:id="1045912050">
      <w:bodyDiv w:val="1"/>
      <w:marLeft w:val="0"/>
      <w:marRight w:val="0"/>
      <w:marTop w:val="0"/>
      <w:marBottom w:val="0"/>
      <w:divBdr>
        <w:top w:val="none" w:sz="0" w:space="0" w:color="auto"/>
        <w:left w:val="none" w:sz="0" w:space="0" w:color="auto"/>
        <w:bottom w:val="none" w:sz="0" w:space="0" w:color="auto"/>
        <w:right w:val="none" w:sz="0" w:space="0" w:color="auto"/>
      </w:divBdr>
    </w:div>
    <w:div w:id="1125613236">
      <w:bodyDiv w:val="1"/>
      <w:marLeft w:val="0"/>
      <w:marRight w:val="0"/>
      <w:marTop w:val="0"/>
      <w:marBottom w:val="0"/>
      <w:divBdr>
        <w:top w:val="none" w:sz="0" w:space="0" w:color="auto"/>
        <w:left w:val="none" w:sz="0" w:space="0" w:color="auto"/>
        <w:bottom w:val="none" w:sz="0" w:space="0" w:color="auto"/>
        <w:right w:val="none" w:sz="0" w:space="0" w:color="auto"/>
      </w:divBdr>
    </w:div>
    <w:div w:id="1143503929">
      <w:bodyDiv w:val="1"/>
      <w:marLeft w:val="0"/>
      <w:marRight w:val="0"/>
      <w:marTop w:val="0"/>
      <w:marBottom w:val="0"/>
      <w:divBdr>
        <w:top w:val="none" w:sz="0" w:space="0" w:color="auto"/>
        <w:left w:val="none" w:sz="0" w:space="0" w:color="auto"/>
        <w:bottom w:val="none" w:sz="0" w:space="0" w:color="auto"/>
        <w:right w:val="none" w:sz="0" w:space="0" w:color="auto"/>
      </w:divBdr>
    </w:div>
    <w:div w:id="1273709442">
      <w:bodyDiv w:val="1"/>
      <w:marLeft w:val="0"/>
      <w:marRight w:val="0"/>
      <w:marTop w:val="0"/>
      <w:marBottom w:val="0"/>
      <w:divBdr>
        <w:top w:val="none" w:sz="0" w:space="0" w:color="auto"/>
        <w:left w:val="none" w:sz="0" w:space="0" w:color="auto"/>
        <w:bottom w:val="none" w:sz="0" w:space="0" w:color="auto"/>
        <w:right w:val="none" w:sz="0" w:space="0" w:color="auto"/>
      </w:divBdr>
    </w:div>
    <w:div w:id="1291667823">
      <w:bodyDiv w:val="1"/>
      <w:marLeft w:val="0"/>
      <w:marRight w:val="0"/>
      <w:marTop w:val="0"/>
      <w:marBottom w:val="0"/>
      <w:divBdr>
        <w:top w:val="none" w:sz="0" w:space="0" w:color="auto"/>
        <w:left w:val="none" w:sz="0" w:space="0" w:color="auto"/>
        <w:bottom w:val="none" w:sz="0" w:space="0" w:color="auto"/>
        <w:right w:val="none" w:sz="0" w:space="0" w:color="auto"/>
      </w:divBdr>
    </w:div>
    <w:div w:id="1308392832">
      <w:bodyDiv w:val="1"/>
      <w:marLeft w:val="0"/>
      <w:marRight w:val="0"/>
      <w:marTop w:val="0"/>
      <w:marBottom w:val="0"/>
      <w:divBdr>
        <w:top w:val="none" w:sz="0" w:space="0" w:color="auto"/>
        <w:left w:val="none" w:sz="0" w:space="0" w:color="auto"/>
        <w:bottom w:val="none" w:sz="0" w:space="0" w:color="auto"/>
        <w:right w:val="none" w:sz="0" w:space="0" w:color="auto"/>
      </w:divBdr>
    </w:div>
    <w:div w:id="1345287034">
      <w:bodyDiv w:val="1"/>
      <w:marLeft w:val="0"/>
      <w:marRight w:val="0"/>
      <w:marTop w:val="0"/>
      <w:marBottom w:val="0"/>
      <w:divBdr>
        <w:top w:val="none" w:sz="0" w:space="0" w:color="auto"/>
        <w:left w:val="none" w:sz="0" w:space="0" w:color="auto"/>
        <w:bottom w:val="none" w:sz="0" w:space="0" w:color="auto"/>
        <w:right w:val="none" w:sz="0" w:space="0" w:color="auto"/>
      </w:divBdr>
    </w:div>
    <w:div w:id="1412386661">
      <w:bodyDiv w:val="1"/>
      <w:marLeft w:val="0"/>
      <w:marRight w:val="0"/>
      <w:marTop w:val="0"/>
      <w:marBottom w:val="0"/>
      <w:divBdr>
        <w:top w:val="none" w:sz="0" w:space="0" w:color="auto"/>
        <w:left w:val="none" w:sz="0" w:space="0" w:color="auto"/>
        <w:bottom w:val="none" w:sz="0" w:space="0" w:color="auto"/>
        <w:right w:val="none" w:sz="0" w:space="0" w:color="auto"/>
      </w:divBdr>
    </w:div>
    <w:div w:id="1486239695">
      <w:bodyDiv w:val="1"/>
      <w:marLeft w:val="0"/>
      <w:marRight w:val="0"/>
      <w:marTop w:val="0"/>
      <w:marBottom w:val="0"/>
      <w:divBdr>
        <w:top w:val="none" w:sz="0" w:space="0" w:color="auto"/>
        <w:left w:val="none" w:sz="0" w:space="0" w:color="auto"/>
        <w:bottom w:val="none" w:sz="0" w:space="0" w:color="auto"/>
        <w:right w:val="none" w:sz="0" w:space="0" w:color="auto"/>
      </w:divBdr>
    </w:div>
    <w:div w:id="1496651094">
      <w:bodyDiv w:val="1"/>
      <w:marLeft w:val="0"/>
      <w:marRight w:val="0"/>
      <w:marTop w:val="0"/>
      <w:marBottom w:val="0"/>
      <w:divBdr>
        <w:top w:val="none" w:sz="0" w:space="0" w:color="auto"/>
        <w:left w:val="none" w:sz="0" w:space="0" w:color="auto"/>
        <w:bottom w:val="none" w:sz="0" w:space="0" w:color="auto"/>
        <w:right w:val="none" w:sz="0" w:space="0" w:color="auto"/>
      </w:divBdr>
    </w:div>
    <w:div w:id="1555265133">
      <w:bodyDiv w:val="1"/>
      <w:marLeft w:val="0"/>
      <w:marRight w:val="0"/>
      <w:marTop w:val="0"/>
      <w:marBottom w:val="0"/>
      <w:divBdr>
        <w:top w:val="none" w:sz="0" w:space="0" w:color="auto"/>
        <w:left w:val="none" w:sz="0" w:space="0" w:color="auto"/>
        <w:bottom w:val="none" w:sz="0" w:space="0" w:color="auto"/>
        <w:right w:val="none" w:sz="0" w:space="0" w:color="auto"/>
      </w:divBdr>
    </w:div>
    <w:div w:id="1611936143">
      <w:bodyDiv w:val="1"/>
      <w:marLeft w:val="0"/>
      <w:marRight w:val="0"/>
      <w:marTop w:val="0"/>
      <w:marBottom w:val="0"/>
      <w:divBdr>
        <w:top w:val="none" w:sz="0" w:space="0" w:color="auto"/>
        <w:left w:val="none" w:sz="0" w:space="0" w:color="auto"/>
        <w:bottom w:val="none" w:sz="0" w:space="0" w:color="auto"/>
        <w:right w:val="none" w:sz="0" w:space="0" w:color="auto"/>
      </w:divBdr>
    </w:div>
    <w:div w:id="1677074293">
      <w:bodyDiv w:val="1"/>
      <w:marLeft w:val="0"/>
      <w:marRight w:val="0"/>
      <w:marTop w:val="0"/>
      <w:marBottom w:val="0"/>
      <w:divBdr>
        <w:top w:val="none" w:sz="0" w:space="0" w:color="auto"/>
        <w:left w:val="none" w:sz="0" w:space="0" w:color="auto"/>
        <w:bottom w:val="none" w:sz="0" w:space="0" w:color="auto"/>
        <w:right w:val="none" w:sz="0" w:space="0" w:color="auto"/>
      </w:divBdr>
    </w:div>
    <w:div w:id="1788157397">
      <w:bodyDiv w:val="1"/>
      <w:marLeft w:val="0"/>
      <w:marRight w:val="0"/>
      <w:marTop w:val="0"/>
      <w:marBottom w:val="0"/>
      <w:divBdr>
        <w:top w:val="none" w:sz="0" w:space="0" w:color="auto"/>
        <w:left w:val="none" w:sz="0" w:space="0" w:color="auto"/>
        <w:bottom w:val="none" w:sz="0" w:space="0" w:color="auto"/>
        <w:right w:val="none" w:sz="0" w:space="0" w:color="auto"/>
      </w:divBdr>
    </w:div>
    <w:div w:id="1790397172">
      <w:bodyDiv w:val="1"/>
      <w:marLeft w:val="0"/>
      <w:marRight w:val="0"/>
      <w:marTop w:val="0"/>
      <w:marBottom w:val="0"/>
      <w:divBdr>
        <w:top w:val="none" w:sz="0" w:space="0" w:color="auto"/>
        <w:left w:val="none" w:sz="0" w:space="0" w:color="auto"/>
        <w:bottom w:val="none" w:sz="0" w:space="0" w:color="auto"/>
        <w:right w:val="none" w:sz="0" w:space="0" w:color="auto"/>
      </w:divBdr>
    </w:div>
    <w:div w:id="1830437567">
      <w:bodyDiv w:val="1"/>
      <w:marLeft w:val="0"/>
      <w:marRight w:val="0"/>
      <w:marTop w:val="0"/>
      <w:marBottom w:val="0"/>
      <w:divBdr>
        <w:top w:val="none" w:sz="0" w:space="0" w:color="auto"/>
        <w:left w:val="none" w:sz="0" w:space="0" w:color="auto"/>
        <w:bottom w:val="none" w:sz="0" w:space="0" w:color="auto"/>
        <w:right w:val="none" w:sz="0" w:space="0" w:color="auto"/>
      </w:divBdr>
    </w:div>
    <w:div w:id="1838492211">
      <w:bodyDiv w:val="1"/>
      <w:marLeft w:val="0"/>
      <w:marRight w:val="0"/>
      <w:marTop w:val="0"/>
      <w:marBottom w:val="0"/>
      <w:divBdr>
        <w:top w:val="none" w:sz="0" w:space="0" w:color="auto"/>
        <w:left w:val="none" w:sz="0" w:space="0" w:color="auto"/>
        <w:bottom w:val="none" w:sz="0" w:space="0" w:color="auto"/>
        <w:right w:val="none" w:sz="0" w:space="0" w:color="auto"/>
      </w:divBdr>
    </w:div>
    <w:div w:id="1843081897">
      <w:bodyDiv w:val="1"/>
      <w:marLeft w:val="0"/>
      <w:marRight w:val="0"/>
      <w:marTop w:val="0"/>
      <w:marBottom w:val="0"/>
      <w:divBdr>
        <w:top w:val="none" w:sz="0" w:space="0" w:color="auto"/>
        <w:left w:val="none" w:sz="0" w:space="0" w:color="auto"/>
        <w:bottom w:val="none" w:sz="0" w:space="0" w:color="auto"/>
        <w:right w:val="none" w:sz="0" w:space="0" w:color="auto"/>
      </w:divBdr>
    </w:div>
    <w:div w:id="1873150541">
      <w:bodyDiv w:val="1"/>
      <w:marLeft w:val="0"/>
      <w:marRight w:val="0"/>
      <w:marTop w:val="0"/>
      <w:marBottom w:val="0"/>
      <w:divBdr>
        <w:top w:val="none" w:sz="0" w:space="0" w:color="auto"/>
        <w:left w:val="none" w:sz="0" w:space="0" w:color="auto"/>
        <w:bottom w:val="none" w:sz="0" w:space="0" w:color="auto"/>
        <w:right w:val="none" w:sz="0" w:space="0" w:color="auto"/>
      </w:divBdr>
    </w:div>
    <w:div w:id="1923103446">
      <w:bodyDiv w:val="1"/>
      <w:marLeft w:val="0"/>
      <w:marRight w:val="0"/>
      <w:marTop w:val="0"/>
      <w:marBottom w:val="0"/>
      <w:divBdr>
        <w:top w:val="none" w:sz="0" w:space="0" w:color="auto"/>
        <w:left w:val="none" w:sz="0" w:space="0" w:color="auto"/>
        <w:bottom w:val="none" w:sz="0" w:space="0" w:color="auto"/>
        <w:right w:val="none" w:sz="0" w:space="0" w:color="auto"/>
      </w:divBdr>
    </w:div>
    <w:div w:id="1989281028">
      <w:bodyDiv w:val="1"/>
      <w:marLeft w:val="0"/>
      <w:marRight w:val="0"/>
      <w:marTop w:val="0"/>
      <w:marBottom w:val="0"/>
      <w:divBdr>
        <w:top w:val="none" w:sz="0" w:space="0" w:color="auto"/>
        <w:left w:val="none" w:sz="0" w:space="0" w:color="auto"/>
        <w:bottom w:val="none" w:sz="0" w:space="0" w:color="auto"/>
        <w:right w:val="none" w:sz="0" w:space="0" w:color="auto"/>
      </w:divBdr>
    </w:div>
    <w:div w:id="212811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44238</Words>
  <Characters>252163</Characters>
  <Application>Microsoft Office Word</Application>
  <DocSecurity>4</DocSecurity>
  <Lines>2101</Lines>
  <Paragraphs>591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dc:creator>
  <cp:lastModifiedBy>Cockarill, Nicola</cp:lastModifiedBy>
  <cp:revision>2</cp:revision>
  <cp:lastPrinted>2012-05-10T09:49:00Z</cp:lastPrinted>
  <dcterms:created xsi:type="dcterms:W3CDTF">2018-01-11T11:37:00Z</dcterms:created>
  <dcterms:modified xsi:type="dcterms:W3CDTF">2018-01-11T11:37:00Z</dcterms:modified>
</cp:coreProperties>
</file>