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A357F" w14:textId="7D98E836" w:rsidR="00D2643B" w:rsidRDefault="00854A3E" w:rsidP="00B56FF4">
      <w:pPr>
        <w:spacing w:line="480" w:lineRule="auto"/>
        <w:jc w:val="center"/>
        <w:rPr>
          <w:b/>
        </w:rPr>
      </w:pPr>
      <w:r>
        <w:rPr>
          <w:b/>
        </w:rPr>
        <w:t xml:space="preserve">[This is the “Author’s accepted manuscript” </w:t>
      </w:r>
      <w:r>
        <w:rPr>
          <w:b/>
        </w:rPr>
        <w:t xml:space="preserve">of an article which has been published in </w:t>
      </w:r>
      <w:r w:rsidRPr="00854A3E">
        <w:rPr>
          <w:b/>
          <w:i/>
        </w:rPr>
        <w:t>Accounting and Business Research</w:t>
      </w:r>
      <w:r>
        <w:rPr>
          <w:b/>
        </w:rPr>
        <w:t>, Vol.</w:t>
      </w:r>
      <w:r w:rsidR="00D2643B">
        <w:rPr>
          <w:b/>
        </w:rPr>
        <w:tab/>
      </w:r>
      <w:r>
        <w:rPr>
          <w:b/>
        </w:rPr>
        <w:t>43, No. 2, 2013, pages 83-111.]</w:t>
      </w:r>
      <w:r w:rsidR="00D2643B">
        <w:rPr>
          <w:b/>
        </w:rPr>
        <w:tab/>
      </w:r>
      <w:r w:rsidR="00D2643B">
        <w:rPr>
          <w:b/>
        </w:rPr>
        <w:tab/>
      </w:r>
      <w:r w:rsidR="00D2643B">
        <w:rPr>
          <w:b/>
        </w:rPr>
        <w:tab/>
      </w:r>
      <w:r w:rsidR="00D2643B">
        <w:rPr>
          <w:b/>
        </w:rPr>
        <w:tab/>
      </w:r>
      <w:r w:rsidR="00D2643B">
        <w:rPr>
          <w:b/>
        </w:rPr>
        <w:tab/>
      </w:r>
      <w:r w:rsidR="00D2643B">
        <w:rPr>
          <w:b/>
        </w:rPr>
        <w:tab/>
      </w:r>
    </w:p>
    <w:p w14:paraId="6C635254" w14:textId="77777777" w:rsidR="00D2643B" w:rsidRPr="00854A3E" w:rsidRDefault="00D2643B" w:rsidP="00B56FF4">
      <w:pPr>
        <w:spacing w:line="480" w:lineRule="auto"/>
        <w:jc w:val="center"/>
        <w:rPr>
          <w:b/>
          <w:sz w:val="36"/>
          <w:szCs w:val="36"/>
        </w:rPr>
      </w:pPr>
      <w:r w:rsidRPr="00854A3E">
        <w:rPr>
          <w:b/>
          <w:sz w:val="36"/>
          <w:szCs w:val="36"/>
        </w:rPr>
        <w:t>The continued survival of international differences under IFRS</w:t>
      </w:r>
    </w:p>
    <w:p w14:paraId="395A50D5" w14:textId="77777777" w:rsidR="00D2643B" w:rsidRDefault="00D2643B" w:rsidP="00B56FF4">
      <w:pPr>
        <w:spacing w:line="480" w:lineRule="auto"/>
        <w:jc w:val="center"/>
        <w:rPr>
          <w:b/>
        </w:rPr>
      </w:pPr>
    </w:p>
    <w:p w14:paraId="58DBE002" w14:textId="77777777" w:rsidR="00D2643B" w:rsidRDefault="00D2643B" w:rsidP="00B56FF4">
      <w:pPr>
        <w:spacing w:line="480" w:lineRule="auto"/>
        <w:jc w:val="center"/>
        <w:rPr>
          <w:b/>
        </w:rPr>
      </w:pPr>
      <w:r>
        <w:rPr>
          <w:b/>
        </w:rPr>
        <w:t>CHRISTOPHER NOBES*</w:t>
      </w:r>
    </w:p>
    <w:p w14:paraId="062D8466" w14:textId="77777777" w:rsidR="00D2643B" w:rsidRPr="00F10595" w:rsidRDefault="00D2643B" w:rsidP="00B56FF4">
      <w:pPr>
        <w:spacing w:line="480" w:lineRule="auto"/>
        <w:jc w:val="center"/>
      </w:pPr>
      <w:r w:rsidRPr="00F10595">
        <w:t xml:space="preserve">Royal Holloway, </w:t>
      </w:r>
      <w:smartTag w:uri="urn:schemas-microsoft-com:office:smarttags" w:element="City">
        <w:smartTag w:uri="urn:schemas-microsoft-com:office:smarttags" w:element="place">
          <w:smartTag w:uri="urn:schemas-microsoft-com:office:smarttags" w:element="City">
            <w:r w:rsidRPr="00F10595">
              <w:t>University of London</w:t>
            </w:r>
          </w:smartTag>
          <w:r w:rsidRPr="00F10595">
            <w:t xml:space="preserve">, </w:t>
          </w:r>
          <w:smartTag w:uri="urn:schemas-microsoft-com:office:smarttags" w:element="PostalCode">
            <w:r w:rsidRPr="00F10595">
              <w:t>TW20 0EX</w:t>
            </w:r>
          </w:smartTag>
        </w:smartTag>
      </w:smartTag>
    </w:p>
    <w:p w14:paraId="1B3CDE1A" w14:textId="77777777" w:rsidR="00D2643B" w:rsidRPr="00F10595" w:rsidRDefault="00D2643B" w:rsidP="00B56FF4">
      <w:pPr>
        <w:spacing w:line="480" w:lineRule="auto"/>
        <w:jc w:val="center"/>
      </w:pPr>
    </w:p>
    <w:p w14:paraId="092142E5" w14:textId="77777777" w:rsidR="00D2643B" w:rsidRPr="00F10595" w:rsidRDefault="00D2643B" w:rsidP="00B56FF4">
      <w:pPr>
        <w:spacing w:line="480" w:lineRule="auto"/>
        <w:jc w:val="center"/>
      </w:pPr>
      <w:r w:rsidRPr="00F10595">
        <w:t>*e-mail: chris.nobes@rhul.ac.uk</w:t>
      </w:r>
    </w:p>
    <w:p w14:paraId="5C100E8D" w14:textId="77777777" w:rsidR="00D2643B" w:rsidRDefault="00D2643B" w:rsidP="00B56FF4">
      <w:pPr>
        <w:spacing w:line="480" w:lineRule="auto"/>
        <w:jc w:val="center"/>
        <w:rPr>
          <w:b/>
        </w:rPr>
      </w:pPr>
    </w:p>
    <w:p w14:paraId="6F0B1C60" w14:textId="77777777" w:rsidR="00D2643B" w:rsidRDefault="00D2643B" w:rsidP="00B56FF4">
      <w:pPr>
        <w:spacing w:line="480" w:lineRule="auto"/>
        <w:jc w:val="center"/>
        <w:rPr>
          <w:b/>
        </w:rPr>
      </w:pPr>
    </w:p>
    <w:p w14:paraId="184C70F5" w14:textId="77777777" w:rsidR="00D2643B" w:rsidRDefault="00D2643B" w:rsidP="00B56FF4">
      <w:pPr>
        <w:spacing w:line="480" w:lineRule="auto"/>
        <w:jc w:val="center"/>
        <w:rPr>
          <w:b/>
        </w:rPr>
      </w:pPr>
    </w:p>
    <w:p w14:paraId="47963800" w14:textId="77777777" w:rsidR="00D2643B" w:rsidRDefault="00D2643B" w:rsidP="00840C92">
      <w:pPr>
        <w:spacing w:line="480" w:lineRule="auto"/>
      </w:pPr>
      <w:r w:rsidRPr="00F10595">
        <w:rPr>
          <w:b/>
        </w:rPr>
        <w:t>Acknowledgements</w:t>
      </w:r>
      <w:r>
        <w:t xml:space="preserve">: </w:t>
      </w:r>
      <w:r w:rsidRPr="00F10595">
        <w:t xml:space="preserve">The author is grateful </w:t>
      </w:r>
      <w:r>
        <w:t xml:space="preserve">to the </w:t>
      </w:r>
      <w:r w:rsidR="00377BF1">
        <w:t xml:space="preserve">former </w:t>
      </w:r>
      <w:r>
        <w:t xml:space="preserve">editor, Pauline Weetman, for commissioning and suggesting content for this paper. He </w:t>
      </w:r>
      <w:r w:rsidRPr="00F10595">
        <w:t xml:space="preserve">is </w:t>
      </w:r>
      <w:r>
        <w:t xml:space="preserve">also </w:t>
      </w:r>
      <w:r w:rsidRPr="00F10595">
        <w:t xml:space="preserve">grateful, for comments on an earlier </w:t>
      </w:r>
      <w:r>
        <w:t xml:space="preserve">draft, </w:t>
      </w:r>
      <w:r w:rsidR="00280294">
        <w:t>to</w:t>
      </w:r>
      <w:r>
        <w:t xml:space="preserve"> Jane Davison, Axel Haller, Erlend Kvaal, Paul Pacter, R.H. Parker, </w:t>
      </w:r>
      <w:r w:rsidRPr="00F10595">
        <w:t>Christian Stadler</w:t>
      </w:r>
      <w:r>
        <w:t>, Stephen Zeff and two anonymous reviewers</w:t>
      </w:r>
      <w:r w:rsidRPr="00F10595">
        <w:t>.</w:t>
      </w:r>
      <w:r>
        <w:t xml:space="preserve"> He is further grateful to the Association of Chartered Certified Accountants for financial support.</w:t>
      </w:r>
    </w:p>
    <w:p w14:paraId="68EF3F66" w14:textId="77777777" w:rsidR="00D2643B" w:rsidRDefault="00D2643B" w:rsidP="00B56FF4">
      <w:pPr>
        <w:spacing w:line="480" w:lineRule="auto"/>
        <w:jc w:val="center"/>
        <w:rPr>
          <w:b/>
        </w:rPr>
      </w:pPr>
    </w:p>
    <w:p w14:paraId="3EF2E180" w14:textId="77777777" w:rsidR="00D2643B" w:rsidRDefault="00D2643B" w:rsidP="00854A3E">
      <w:pPr>
        <w:spacing w:line="480" w:lineRule="auto"/>
        <w:rPr>
          <w:b/>
        </w:rPr>
      </w:pPr>
      <w:bookmarkStart w:id="0" w:name="_GoBack"/>
      <w:bookmarkEnd w:id="0"/>
    </w:p>
    <w:p w14:paraId="06C1C604" w14:textId="77777777" w:rsidR="00D2643B" w:rsidRDefault="00D2643B" w:rsidP="00B627FF">
      <w:pPr>
        <w:spacing w:line="480" w:lineRule="auto"/>
        <w:rPr>
          <w:b/>
        </w:rPr>
      </w:pPr>
      <w:r>
        <w:rPr>
          <w:b/>
        </w:rPr>
        <w:lastRenderedPageBreak/>
        <w:t>Abstract</w:t>
      </w:r>
    </w:p>
    <w:p w14:paraId="52D64B1D" w14:textId="77777777" w:rsidR="00D2643B" w:rsidRPr="00B627FF" w:rsidRDefault="00D2643B" w:rsidP="00B627FF">
      <w:pPr>
        <w:spacing w:line="480" w:lineRule="auto"/>
      </w:pPr>
      <w:r w:rsidRPr="00B627FF">
        <w:t xml:space="preserve">The </w:t>
      </w:r>
      <w:r w:rsidR="00280294">
        <w:t xml:space="preserve">claimed </w:t>
      </w:r>
      <w:r w:rsidRPr="00B627FF">
        <w:t xml:space="preserve">starting point for much recent literature is that </w:t>
      </w:r>
      <w:r>
        <w:t>International Financial Reporting Standards (</w:t>
      </w:r>
      <w:r w:rsidRPr="00B627FF">
        <w:t>IFRS</w:t>
      </w:r>
      <w:r>
        <w:t>)</w:t>
      </w:r>
      <w:r w:rsidRPr="00B627FF">
        <w:t xml:space="preserve"> ha</w:t>
      </w:r>
      <w:r>
        <w:t xml:space="preserve">ve been very widely adopted. That is somewhere between an error and a misleading simplification. This paper begins by providing an antidote by analysing the degree to which IFRS have </w:t>
      </w:r>
      <w:r w:rsidRPr="00795BAB">
        <w:rPr>
          <w:i/>
        </w:rPr>
        <w:t>not</w:t>
      </w:r>
      <w:r>
        <w:t xml:space="preserve"> been adopted in the jurisdictions containing the world’s largest 16 stock markets. This might help researchers with their institutional settings. The paper then examines several issues which can lead to international differences in IFRS practice, starting with language and enforcement, but focusing mainly on policy options. Previously published lists of these are up-dated, the extensive recent literature on IFRS policy choice and policy change is synthesised, and new data </w:t>
      </w:r>
      <w:r w:rsidR="00280294">
        <w:t xml:space="preserve">are </w:t>
      </w:r>
      <w:r>
        <w:t>provided. Finally, researchers are offered some lessons from the past and some directions for the future.</w:t>
      </w:r>
    </w:p>
    <w:p w14:paraId="020C7234" w14:textId="77777777" w:rsidR="00D2643B" w:rsidRDefault="00D2643B" w:rsidP="00B56FF4">
      <w:pPr>
        <w:spacing w:line="480" w:lineRule="auto"/>
        <w:jc w:val="center"/>
        <w:rPr>
          <w:b/>
        </w:rPr>
      </w:pPr>
    </w:p>
    <w:p w14:paraId="3285E020" w14:textId="77777777" w:rsidR="00D2643B" w:rsidRDefault="00D2643B" w:rsidP="00B56FF4">
      <w:pPr>
        <w:spacing w:line="480" w:lineRule="auto"/>
        <w:jc w:val="center"/>
        <w:rPr>
          <w:b/>
        </w:rPr>
      </w:pPr>
    </w:p>
    <w:p w14:paraId="54F3FE0C" w14:textId="77777777" w:rsidR="00D2643B" w:rsidRDefault="00D2643B" w:rsidP="00B56FF4">
      <w:pPr>
        <w:spacing w:line="480" w:lineRule="auto"/>
        <w:jc w:val="center"/>
        <w:rPr>
          <w:b/>
        </w:rPr>
      </w:pPr>
    </w:p>
    <w:p w14:paraId="2F65FBB6" w14:textId="77777777" w:rsidR="00D2643B" w:rsidRDefault="00D2643B" w:rsidP="00B56FF4">
      <w:pPr>
        <w:spacing w:line="480" w:lineRule="auto"/>
        <w:jc w:val="center"/>
        <w:rPr>
          <w:b/>
        </w:rPr>
      </w:pPr>
    </w:p>
    <w:p w14:paraId="7676376D" w14:textId="77777777" w:rsidR="00D2643B" w:rsidRDefault="00D2643B" w:rsidP="00B56FF4">
      <w:pPr>
        <w:spacing w:line="480" w:lineRule="auto"/>
        <w:jc w:val="center"/>
        <w:rPr>
          <w:b/>
        </w:rPr>
      </w:pPr>
    </w:p>
    <w:p w14:paraId="30394749" w14:textId="77777777" w:rsidR="00D2643B" w:rsidRDefault="00D2643B" w:rsidP="00B56FF4">
      <w:pPr>
        <w:spacing w:line="480" w:lineRule="auto"/>
        <w:jc w:val="center"/>
        <w:rPr>
          <w:b/>
        </w:rPr>
      </w:pPr>
    </w:p>
    <w:p w14:paraId="20708A92" w14:textId="77777777" w:rsidR="00D2643B" w:rsidRDefault="00D2643B" w:rsidP="00B56FF4">
      <w:pPr>
        <w:spacing w:line="480" w:lineRule="auto"/>
        <w:jc w:val="center"/>
        <w:rPr>
          <w:b/>
        </w:rPr>
      </w:pPr>
    </w:p>
    <w:p w14:paraId="1880CEB8" w14:textId="77777777" w:rsidR="00D2643B" w:rsidRDefault="00D2643B" w:rsidP="00B56FF4">
      <w:pPr>
        <w:spacing w:line="480" w:lineRule="auto"/>
        <w:jc w:val="center"/>
        <w:rPr>
          <w:b/>
        </w:rPr>
      </w:pPr>
    </w:p>
    <w:p w14:paraId="20872DDB" w14:textId="77777777" w:rsidR="00D2643B" w:rsidRDefault="00D2643B">
      <w:pPr>
        <w:spacing w:after="0" w:line="240" w:lineRule="auto"/>
        <w:rPr>
          <w:b/>
        </w:rPr>
      </w:pPr>
      <w:r>
        <w:rPr>
          <w:b/>
        </w:rPr>
        <w:br w:type="page"/>
      </w:r>
    </w:p>
    <w:p w14:paraId="7CF6E932" w14:textId="77777777" w:rsidR="00D2643B" w:rsidRDefault="00D2643B" w:rsidP="00B56FF4">
      <w:pPr>
        <w:spacing w:line="480" w:lineRule="auto"/>
        <w:jc w:val="center"/>
        <w:rPr>
          <w:b/>
        </w:rPr>
      </w:pPr>
      <w:r>
        <w:rPr>
          <w:b/>
        </w:rPr>
        <w:lastRenderedPageBreak/>
        <w:t>The continued survival of international differences under IFRS</w:t>
      </w:r>
    </w:p>
    <w:p w14:paraId="275D1DAC" w14:textId="77777777" w:rsidR="00D2643B" w:rsidRPr="004E0618" w:rsidRDefault="00D2643B" w:rsidP="004E0618">
      <w:pPr>
        <w:pStyle w:val="ListParagraph"/>
        <w:numPr>
          <w:ilvl w:val="0"/>
          <w:numId w:val="1"/>
        </w:numPr>
        <w:spacing w:after="60" w:line="480" w:lineRule="auto"/>
        <w:rPr>
          <w:b/>
        </w:rPr>
      </w:pPr>
      <w:r>
        <w:rPr>
          <w:b/>
        </w:rPr>
        <w:t>I</w:t>
      </w:r>
      <w:r w:rsidRPr="004E0618">
        <w:rPr>
          <w:b/>
        </w:rPr>
        <w:t>ntroduction</w:t>
      </w:r>
    </w:p>
    <w:p w14:paraId="3A4828BA" w14:textId="77777777" w:rsidR="00D2643B" w:rsidRDefault="00D2643B" w:rsidP="00B56FF4">
      <w:pPr>
        <w:spacing w:after="60" w:line="480" w:lineRule="auto"/>
      </w:pPr>
      <w:r>
        <w:t>It is a commonplace that International Financial Reporting Standards (IFRS) have spread to over 100 countries (e.g. SEC, 2007; IASB, 2012, p.11).  Examples of reports about this process are as follows:</w:t>
      </w:r>
    </w:p>
    <w:p w14:paraId="7D4F27DB" w14:textId="77777777" w:rsidR="00D2643B" w:rsidRDefault="00D2643B" w:rsidP="00B56FF4">
      <w:pPr>
        <w:spacing w:after="60" w:line="480" w:lineRule="auto"/>
        <w:ind w:left="720" w:hanging="720"/>
      </w:pPr>
      <w:r>
        <w:tab/>
        <w:t>IFRS is the official reporting standard which was recently adopted by over 100 countries (Benzacar, 2008, p.26).</w:t>
      </w:r>
    </w:p>
    <w:p w14:paraId="60B8F6EA" w14:textId="77777777" w:rsidR="00D2643B" w:rsidRDefault="00D2643B" w:rsidP="00B56FF4">
      <w:pPr>
        <w:spacing w:after="60" w:line="480" w:lineRule="auto"/>
        <w:ind w:left="720" w:hanging="720"/>
      </w:pPr>
      <w:r>
        <w:tab/>
        <w:t>To date, more than 12,000 companies in over 100 countries have adopted IFRS (Interfacing, 2012).</w:t>
      </w:r>
    </w:p>
    <w:p w14:paraId="32E560AD" w14:textId="77777777" w:rsidR="00D2643B" w:rsidRDefault="00D2643B" w:rsidP="00B56FF4">
      <w:pPr>
        <w:spacing w:after="60" w:line="480" w:lineRule="auto"/>
        <w:ind w:left="720" w:hanging="720"/>
      </w:pPr>
      <w:r>
        <w:tab/>
        <w:t>The global rollout of International Financial Reporting Standards is gaining momentum, with more than 100 countries now using IFRS and all of the world’s major countries anticipated to be on board within the next few years (BDO, 2012).</w:t>
      </w:r>
    </w:p>
    <w:p w14:paraId="24BA9561" w14:textId="77777777" w:rsidR="00776D52" w:rsidRDefault="00776D52">
      <w:pPr>
        <w:spacing w:after="60" w:line="480" w:lineRule="auto"/>
        <w:ind w:left="720" w:hanging="720"/>
      </w:pPr>
      <w:r>
        <w:tab/>
      </w:r>
      <w:r w:rsidR="00D2643B">
        <w:t>The number of countries requiring International Financial Reporting Standards (IFRS) for public companies has grown from a relative handful to over 100 (Pacter, 2012).</w:t>
      </w:r>
    </w:p>
    <w:p w14:paraId="25017D7C" w14:textId="77777777" w:rsidR="00153AE0" w:rsidRDefault="000F0496" w:rsidP="00153AE0">
      <w:pPr>
        <w:spacing w:after="60" w:line="480" w:lineRule="auto"/>
        <w:ind w:left="720"/>
      </w:pPr>
      <w:r w:rsidRPr="000F0496">
        <w:rPr>
          <w:color w:val="333333"/>
        </w:rPr>
        <w:t>Approximately 120 nations and reporting jurisdictions permit or require IFRS for domestic listed companies, although approximately 90 countries have fully conformed with IFRS as promulgated by the IASB and include a statement acknowledging such conformity in audit reports</w:t>
      </w:r>
      <w:r w:rsidR="00DA4317">
        <w:rPr>
          <w:color w:val="333333"/>
        </w:rPr>
        <w:t xml:space="preserve"> </w:t>
      </w:r>
      <w:r w:rsidR="00153AE0">
        <w:rPr>
          <w:color w:val="333333"/>
        </w:rPr>
        <w:t>(AICPA, 2013).</w:t>
      </w:r>
    </w:p>
    <w:p w14:paraId="4537D051" w14:textId="77777777" w:rsidR="00D2643B" w:rsidRDefault="00D2643B" w:rsidP="00402205">
      <w:pPr>
        <w:spacing w:after="60" w:line="240" w:lineRule="auto"/>
        <w:ind w:left="720" w:hanging="720"/>
      </w:pPr>
    </w:p>
    <w:p w14:paraId="093F9E34" w14:textId="77777777" w:rsidR="00D2643B" w:rsidRDefault="00D2643B" w:rsidP="00B56FF4">
      <w:pPr>
        <w:spacing w:after="60" w:line="480" w:lineRule="auto"/>
      </w:pPr>
      <w:r>
        <w:tab/>
        <w:t xml:space="preserve">This paper is a reminder that such reports should not be taken to imply the imminent death of international accounting differences. The paper results from a commission from the editor of this journal for an up-dating and expansion of Nobes </w:t>
      </w:r>
      <w:r>
        <w:lastRenderedPageBreak/>
        <w:t>(2006) which the editor had noticed was widely cited by researchers.</w:t>
      </w:r>
      <w:r>
        <w:rPr>
          <w:rStyle w:val="FootnoteReference"/>
        </w:rPr>
        <w:footnoteReference w:id="1"/>
      </w:r>
      <w:r w:rsidR="00776D52">
        <w:t xml:space="preserve"> Many have used the logic of that</w:t>
      </w:r>
      <w:r>
        <w:t xml:space="preserve"> paper as background for hypotheses on the existence or effects of international differences; and several authors have referenced the paper as the specific starting point for empirical research on such issues as comparability (e.g. Cairns </w:t>
      </w:r>
      <w:r w:rsidRPr="003A097C">
        <w:rPr>
          <w:i/>
        </w:rPr>
        <w:t>et al.</w:t>
      </w:r>
      <w:r>
        <w:t>, 2011, p. 3; Taplin, 2011, p.384). Other researchers have used the paper’s lists of IFRS options as dependent variables.</w:t>
      </w:r>
      <w:r>
        <w:rPr>
          <w:rStyle w:val="FootnoteReference"/>
        </w:rPr>
        <w:footnoteReference w:id="2"/>
      </w:r>
      <w:r w:rsidR="00776D52">
        <w:t xml:space="preserve"> The </w:t>
      </w:r>
      <w:r>
        <w:t>paper suggested eight ways in which national aspects of reporting might survive the arrival of IFRS.  These are re-examined and up-dated here.</w:t>
      </w:r>
    </w:p>
    <w:p w14:paraId="68A4DE25" w14:textId="4DD0F34F" w:rsidR="00D2643B" w:rsidRDefault="00D2643B" w:rsidP="00B56FF4">
      <w:pPr>
        <w:spacing w:after="60" w:line="480" w:lineRule="auto"/>
      </w:pPr>
      <w:r>
        <w:tab/>
        <w:t xml:space="preserve">The first contribution of this paper is to present data on the variety in national implementations of IFRS, stressing where implementation is partial or non-mandatory, in order to act as an antidote to the lack of caution in some of the quotations above.  Therefore, my </w:t>
      </w:r>
      <w:r w:rsidR="00280294">
        <w:t>in</w:t>
      </w:r>
      <w:r w:rsidR="00731877">
        <w:t>augural</w:t>
      </w:r>
      <w:r w:rsidR="00280294">
        <w:t xml:space="preserve"> proposition</w:t>
      </w:r>
      <w:r>
        <w:t xml:space="preserve"> will be: ask not what a company in a country </w:t>
      </w:r>
      <w:r w:rsidRPr="008C07F6">
        <w:rPr>
          <w:i/>
        </w:rPr>
        <w:t>can</w:t>
      </w:r>
      <w:r>
        <w:t xml:space="preserve"> do; ask what the company is </w:t>
      </w:r>
      <w:r w:rsidRPr="00FF5B13">
        <w:rPr>
          <w:i/>
        </w:rPr>
        <w:t>required</w:t>
      </w:r>
      <w:r>
        <w:t xml:space="preserve"> to do.  More specifically, ask not which country allows some version of IFRS for some purpose; ask which country requires ‘IFRS as issued by the IASB’ (IASB-IFRS) for all purposes.</w:t>
      </w:r>
    </w:p>
    <w:p w14:paraId="17EB268F" w14:textId="77777777" w:rsidR="00D2643B" w:rsidRDefault="00D2643B" w:rsidP="00B56FF4">
      <w:pPr>
        <w:spacing w:after="60" w:line="480" w:lineRule="auto"/>
      </w:pPr>
      <w:r>
        <w:tab/>
        <w:t>Related to this, there are two other regulatory issues which differ by jurisdiction:  translations of IFRS and enforcement of IFRS.  This paper’s second contribution is to summarise and up-date the discussion of these.</w:t>
      </w:r>
    </w:p>
    <w:p w14:paraId="3332EBC1" w14:textId="77777777" w:rsidR="00D2643B" w:rsidRDefault="00D2643B" w:rsidP="00B56FF4">
      <w:pPr>
        <w:spacing w:after="60" w:line="480" w:lineRule="auto"/>
      </w:pPr>
      <w:r>
        <w:tab/>
        <w:t xml:space="preserve">There is a further, quite different, way in which international accounting differences have survived the arrival of IFRS.  That is, even among companies which are fully compliant with IASB-IFRS, there is scope for, and evidence of, variety of accounting practice, which is associated with such factors as country, industry and size.  Nobes (2006) divided the scope for different IFRS practice into five aspects of the content </w:t>
      </w:r>
      <w:r>
        <w:lastRenderedPageBreak/>
        <w:t>of IFRS, such as overt options and covert options.  The next contributions of this paper are to up-date and go beyond the earlier discussion of these, in two ways: (i) by taking account of the many changes to the content of IFRS from 2005 to 2012, and (ii) by summarising and adding to the empirical findings based on IFRS annual reports of 2005 onwards.  One example of new data relates to the first set of Canadian IFRS reports, which confirm previous findings about the persistence of pre-IFRS national practices.</w:t>
      </w:r>
    </w:p>
    <w:p w14:paraId="438B209B" w14:textId="77777777" w:rsidR="00D2643B" w:rsidRDefault="00D2643B" w:rsidP="009E4441">
      <w:pPr>
        <w:spacing w:after="60" w:line="480" w:lineRule="auto"/>
        <w:ind w:firstLine="360"/>
      </w:pPr>
      <w:r>
        <w:tab/>
        <w:t>In its next four sections, this paper examines the above four sets of issues (different national implementations of IFRS; language and enforcement; the scope for variations in IFRS practice; and the empirical search for those variations).  Relevant literature is included section by section.  The author apologises to readers for the amount of self-citation, but that is inherent in the nature of this commission.</w:t>
      </w:r>
      <w:r w:rsidR="004958FC" w:rsidRPr="004958FC">
        <w:t xml:space="preserve"> </w:t>
      </w:r>
      <w:r w:rsidR="004958FC">
        <w:t>Section 6 concludes, and also asks whether any other set of standards (particularly US GAAP) would have faced the same challenges if adopted widely.</w:t>
      </w:r>
    </w:p>
    <w:p w14:paraId="4B6EBDD0" w14:textId="77777777" w:rsidR="00D2643B" w:rsidRDefault="00D2643B" w:rsidP="009E4441">
      <w:pPr>
        <w:spacing w:after="60" w:line="480" w:lineRule="auto"/>
        <w:ind w:firstLine="360"/>
      </w:pPr>
      <w:r>
        <w:t>When examining national implementations (in Sections 2 and 3 below), reference is made to the requirements for financial statements relating to accounting periods ending on 31 December 2012, unless otherwise stated. For variations allowed within IFRS (in Section 4), it is possible</w:t>
      </w:r>
      <w:r w:rsidR="00776D52">
        <w:rPr>
          <w:rStyle w:val="FootnoteReference"/>
        </w:rPr>
        <w:footnoteReference w:id="3"/>
      </w:r>
      <w:r>
        <w:t xml:space="preserve"> to go one year further: to the requirements in force for 31 December 2013 year ends. </w:t>
      </w:r>
    </w:p>
    <w:p w14:paraId="7274B6CA" w14:textId="77777777" w:rsidR="00D2643B" w:rsidRDefault="00D2643B" w:rsidP="009E7D9E">
      <w:pPr>
        <w:spacing w:after="60" w:line="480" w:lineRule="auto"/>
        <w:ind w:left="720" w:hanging="360"/>
        <w:rPr>
          <w:b/>
        </w:rPr>
      </w:pPr>
      <w:r>
        <w:rPr>
          <w:b/>
        </w:rPr>
        <w:t>2.</w:t>
      </w:r>
      <w:r>
        <w:rPr>
          <w:b/>
        </w:rPr>
        <w:tab/>
        <w:t>National implementations of IFRS</w:t>
      </w:r>
    </w:p>
    <w:p w14:paraId="0295689C" w14:textId="77777777" w:rsidR="00D2643B" w:rsidRDefault="00D2643B" w:rsidP="008D35F2">
      <w:pPr>
        <w:spacing w:after="60" w:line="480" w:lineRule="auto"/>
      </w:pPr>
      <w:r>
        <w:t>As noted above, the literature (academic, professional and journalistic) contains many references to widespread or almost universal a</w:t>
      </w:r>
      <w:r w:rsidR="004958FC">
        <w:t>doption of IFRS.  However, four</w:t>
      </w:r>
      <w:r>
        <w:t xml:space="preserve"> caveats should be entered.  First, in several major capital markets, IFRS are either not </w:t>
      </w:r>
      <w:r w:rsidRPr="00704228">
        <w:rPr>
          <w:i/>
        </w:rPr>
        <w:t>required</w:t>
      </w:r>
      <w:r>
        <w:t xml:space="preserve"> for any purpose (e.g. in </w:t>
      </w:r>
      <w:smartTag w:uri="urn:schemas-microsoft-com:office:smarttags" w:element="country-region">
        <w:r>
          <w:t>Japan</w:t>
        </w:r>
      </w:smartTag>
      <w:r>
        <w:t xml:space="preserve"> or </w:t>
      </w:r>
      <w:smartTag w:uri="urn:schemas-microsoft-com:office:smarttags" w:element="country-region">
        <w:r>
          <w:t>Switzerland</w:t>
        </w:r>
      </w:smartTag>
      <w:r>
        <w:t xml:space="preserve">) or not even </w:t>
      </w:r>
      <w:r w:rsidRPr="00704228">
        <w:rPr>
          <w:i/>
        </w:rPr>
        <w:t>allowed</w:t>
      </w:r>
      <w:r>
        <w:t xml:space="preserve"> for domestic reporters </w:t>
      </w:r>
      <w:r>
        <w:lastRenderedPageBreak/>
        <w:t xml:space="preserve">(e.g. for SEC registrants in the </w:t>
      </w:r>
      <w:smartTag w:uri="urn:schemas-microsoft-com:office:smarttags" w:element="country-region">
        <w:smartTag w:uri="urn:schemas-microsoft-com:office:smarttags" w:element="place">
          <w:r>
            <w:t>USA</w:t>
          </w:r>
        </w:smartTag>
      </w:smartTag>
      <w:r>
        <w:t xml:space="preserve">).  Secondly, even in jurisdictions where IFRS are required or allowed, this is often restricted in some way (e.g. to listed companies or to consolidated statements).  I am not suggesting that these restrictions on IFRS are inappropriate, merely that they cause an unadorned statement about ‘adoption’ to be misleading. In the quotations at the start of this paper, Pacter (2012) carefully refers to “public companies” </w:t>
      </w:r>
      <w:r w:rsidR="004958FC">
        <w:t xml:space="preserve">(which is a very small percentage of companies, although economically important) </w:t>
      </w:r>
      <w:r>
        <w:t xml:space="preserve">whereas the other authors do not. Thirdly, for many of the ‘more than 100 countries’, it is not IASB-IFRS that are required or allowed (for some purposes) but national (e.g. Australian) or regional (e.g. EU) versions of IFRS. </w:t>
      </w:r>
      <w:r w:rsidR="004958FC">
        <w:t xml:space="preserve">Fourthly, in many countries where </w:t>
      </w:r>
      <w:r w:rsidR="005564E7">
        <w:t xml:space="preserve">IFRS </w:t>
      </w:r>
      <w:r w:rsidR="004958FC">
        <w:t>adoption is alleged to have taken place</w:t>
      </w:r>
      <w:r w:rsidR="005564E7">
        <w:t xml:space="preserve"> (e.g. several EU countries)</w:t>
      </w:r>
      <w:r w:rsidR="004958FC">
        <w:t xml:space="preserve">, no companies or auditors refer to compliance with IASB-IFRS. </w:t>
      </w:r>
      <w:r>
        <w:t xml:space="preserve">Whether </w:t>
      </w:r>
      <w:r w:rsidR="004958FC">
        <w:t xml:space="preserve">companies </w:t>
      </w:r>
      <w:r w:rsidRPr="005564E7">
        <w:rPr>
          <w:i/>
        </w:rPr>
        <w:t>are</w:t>
      </w:r>
      <w:r>
        <w:t xml:space="preserve"> complying with IASB-IFRS is a different issue from whether IASB-IFRS is required</w:t>
      </w:r>
      <w:r w:rsidR="005564E7">
        <w:t xml:space="preserve"> or whether it is referred to</w:t>
      </w:r>
      <w:r>
        <w:t>. I deal with th</w:t>
      </w:r>
      <w:r w:rsidR="005564E7">
        <w:t xml:space="preserve">ose </w:t>
      </w:r>
      <w:r>
        <w:t>issues separately below, but it should be noted immediately that some versions of IFRS do not necessarily imply (and some do not even allow) compliance with IASB-IFRS.</w:t>
      </w:r>
    </w:p>
    <w:p w14:paraId="38DADAA6" w14:textId="77777777" w:rsidR="000E48C1" w:rsidRDefault="00D2643B" w:rsidP="008D35F2">
      <w:pPr>
        <w:spacing w:after="60" w:line="480" w:lineRule="auto"/>
      </w:pPr>
      <w:r>
        <w:tab/>
        <w:t xml:space="preserve">Zeff and Nobes (2010) investigate a number of national implementations of IFRS.  They ask, for example: ‘Has </w:t>
      </w:r>
      <w:smartTag w:uri="urn:schemas-microsoft-com:office:smarttags" w:element="country-region">
        <w:smartTag w:uri="urn:schemas-microsoft-com:office:smarttags" w:element="place">
          <w:r>
            <w:t>Australia</w:t>
          </w:r>
        </w:smartTag>
      </w:smartTag>
      <w:r>
        <w:t xml:space="preserve"> adopted IFRS?’, concluding that there is no simple answer.  Strictly speaking, Australia has not adopted IASB-IFRS because</w:t>
      </w:r>
      <w:r w:rsidR="005564E7">
        <w:t>, in Australian IFRS (AIFRS)</w:t>
      </w:r>
      <w:r>
        <w:t>: (i) early adoption</w:t>
      </w:r>
      <w:r>
        <w:rPr>
          <w:rStyle w:val="FootnoteReference"/>
        </w:rPr>
        <w:footnoteReference w:id="4"/>
      </w:r>
      <w:r w:rsidR="005564E7">
        <w:t xml:space="preserve"> as allowed by</w:t>
      </w:r>
      <w:r>
        <w:t xml:space="preserve"> most new or amended IASB stand</w:t>
      </w:r>
      <w:r w:rsidR="005564E7">
        <w:t>ards is not allowed</w:t>
      </w:r>
      <w:r>
        <w:t xml:space="preserve">, (ii) some disclosure requirements have been added, (iii) many paragraphs have been amended to extend application to not-for-profit entities, and (iv) references are added.  The lack of permission to early adopt is a major issue: </w:t>
      </w:r>
      <w:r w:rsidR="000E48C1">
        <w:t>for example, for accounting periods ending on 30 June 2012 or 30 June 2013</w:t>
      </w:r>
      <w:r>
        <w:t xml:space="preserve">, a large amount of IFRS </w:t>
      </w:r>
      <w:r w:rsidR="000E48C1">
        <w:t>wa</w:t>
      </w:r>
      <w:r>
        <w:t xml:space="preserve">s </w:t>
      </w:r>
      <w:r>
        <w:lastRenderedPageBreak/>
        <w:t>allowed in South Africa or Switzerland but not allowed</w:t>
      </w:r>
      <w:r>
        <w:rPr>
          <w:rStyle w:val="FootnoteReference"/>
        </w:rPr>
        <w:footnoteReference w:id="5"/>
      </w:r>
      <w:r>
        <w:t xml:space="preserve"> in Australia. This include</w:t>
      </w:r>
      <w:r w:rsidR="000E48C1">
        <w:t>d</w:t>
      </w:r>
      <w:r>
        <w:t xml:space="preserve">, </w:t>
      </w:r>
      <w:r w:rsidRPr="008C07F6">
        <w:rPr>
          <w:i/>
        </w:rPr>
        <w:t>inter alia</w:t>
      </w:r>
      <w:r>
        <w:t xml:space="preserve">, IFRSs 9 to 13 and important amendments to IAS 19. This </w:t>
      </w:r>
      <w:r w:rsidR="00280294">
        <w:t>material occupied over</w:t>
      </w:r>
      <w:r>
        <w:t xml:space="preserve"> 500 pages of IFRS, including vital issues such as the definition of a subsidiary. </w:t>
      </w:r>
    </w:p>
    <w:p w14:paraId="3F02F211" w14:textId="77777777" w:rsidR="00D2643B" w:rsidRDefault="000E48C1" w:rsidP="008D35F2">
      <w:pPr>
        <w:spacing w:after="60" w:line="480" w:lineRule="auto"/>
      </w:pPr>
      <w:r>
        <w:tab/>
      </w:r>
      <w:r w:rsidR="00D2643B">
        <w:t xml:space="preserve">On the other hand, </w:t>
      </w:r>
      <w:r w:rsidR="00280294">
        <w:t xml:space="preserve">those </w:t>
      </w:r>
      <w:r w:rsidR="00D2643B">
        <w:t>for-profit entities whi</w:t>
      </w:r>
      <w:r w:rsidR="005564E7">
        <w:t>ch comply with AIFRS</w:t>
      </w:r>
      <w:r w:rsidR="00D2643B">
        <w:t xml:space="preserve"> should automatically thereby be complying with IASB-IFRS.  Thus, in terms of comparability, the result is the same as if IASB-IFRS had been required in Australia. More recently, there has been another relevant development in Australia, in that companies without public accountability</w:t>
      </w:r>
      <w:r w:rsidR="00D2643B">
        <w:rPr>
          <w:rStyle w:val="FootnoteReference"/>
        </w:rPr>
        <w:footnoteReference w:id="6"/>
      </w:r>
      <w:r w:rsidR="00D2643B">
        <w:t xml:space="preserve"> are allowed to follow a special version of AIFRS which contains reduced disclosure requirements, so is clearly not IASB-IFRS.</w:t>
      </w:r>
    </w:p>
    <w:p w14:paraId="6F0D45E6" w14:textId="77777777" w:rsidR="00D2643B" w:rsidRDefault="00D2643B" w:rsidP="008D35F2">
      <w:pPr>
        <w:spacing w:after="60" w:line="480" w:lineRule="auto"/>
      </w:pPr>
      <w:r>
        <w:tab/>
        <w:t xml:space="preserve">EU-adopted IFRS is </w:t>
      </w:r>
      <w:r w:rsidR="005564E7">
        <w:t xml:space="preserve">also </w:t>
      </w:r>
      <w:r>
        <w:t>not IASB-IFRS in that (i)</w:t>
      </w:r>
      <w:r w:rsidRPr="00AE3F2F">
        <w:t xml:space="preserve"> </w:t>
      </w:r>
      <w:r>
        <w:t>it has a more permissive version of IAS 39 (Whittington, 2005), and (ii) early adoption is not allowed until EU endorsement.</w:t>
      </w:r>
      <w:r>
        <w:rPr>
          <w:rStyle w:val="FootnoteReference"/>
        </w:rPr>
        <w:footnoteReference w:id="7"/>
      </w:r>
      <w:r>
        <w:t xml:space="preserve">  Despite this, at least up to the time of writing, EU companies can easily arrange</w:t>
      </w:r>
      <w:r>
        <w:rPr>
          <w:rStyle w:val="FootnoteReference"/>
        </w:rPr>
        <w:footnoteReference w:id="8"/>
      </w:r>
      <w:r>
        <w:t xml:space="preserve"> to comply with IASB-IFRS, and most are probably</w:t>
      </w:r>
      <w:r>
        <w:rPr>
          <w:rStyle w:val="FootnoteReference"/>
        </w:rPr>
        <w:footnoteReference w:id="9"/>
      </w:r>
      <w:r>
        <w:t xml:space="preserve"> doing so even though few </w:t>
      </w:r>
      <w:r w:rsidRPr="00FA51DC">
        <w:rPr>
          <w:i/>
        </w:rPr>
        <w:t>acknowledge</w:t>
      </w:r>
      <w:r>
        <w:t xml:space="preserve"> that they are (Nobes and Zeff, 2008).  By contrast, Chinese or Venezuelan versions of IFRS would probably not normally allow compliance with IASB-IFRS. Zeff and Nobes (2010) conclude that very few countries with significant stock markets require direct compliance with IASB-IFRS.  They mention Israel and South Africa, but even in those countries, compliance is only required for listed companies.</w:t>
      </w:r>
    </w:p>
    <w:p w14:paraId="6B3F6C95" w14:textId="77777777" w:rsidR="00280294" w:rsidRDefault="00D2643B" w:rsidP="006B14AD">
      <w:pPr>
        <w:spacing w:after="60" w:line="480" w:lineRule="auto"/>
      </w:pPr>
      <w:r>
        <w:lastRenderedPageBreak/>
        <w:tab/>
        <w:t xml:space="preserve">The impression of widespread IFRS adoption can be created or dispelled by careful choice of the questions being asked.  Table 1 asks questions, at the head of its columns, designed as an antidote to the conventional wisdom outlined in Section 1.  </w:t>
      </w:r>
    </w:p>
    <w:p w14:paraId="7B357CD9" w14:textId="77777777" w:rsidR="00280294" w:rsidRDefault="00280294" w:rsidP="006B14AD">
      <w:pPr>
        <w:spacing w:after="60" w:line="480" w:lineRule="auto"/>
      </w:pPr>
    </w:p>
    <w:p w14:paraId="4E038040" w14:textId="77777777" w:rsidR="00B82508" w:rsidRDefault="00280294" w:rsidP="00B82508">
      <w:pPr>
        <w:spacing w:after="60" w:line="480" w:lineRule="auto"/>
        <w:jc w:val="center"/>
      </w:pPr>
      <w:r>
        <w:t>INSERT TABLE 1 HEREABOUTS</w:t>
      </w:r>
    </w:p>
    <w:p w14:paraId="775BF4FB" w14:textId="77777777" w:rsidR="00D2643B" w:rsidRDefault="00D2643B" w:rsidP="006B14AD">
      <w:pPr>
        <w:spacing w:after="60" w:line="480" w:lineRule="auto"/>
      </w:pPr>
      <w:r>
        <w:t>The table reports on IFRS implementations in the 16 jurisdictions which have the world’s largest stock markets.</w:t>
      </w:r>
      <w:r>
        <w:rPr>
          <w:rStyle w:val="FootnoteReference"/>
        </w:rPr>
        <w:footnoteReference w:id="10"/>
      </w:r>
      <w:r>
        <w:t xml:space="preserve"> The table deals with the regulated reporting of domestic companies. It deals only with requirements not with options (except in column 8). So, various </w:t>
      </w:r>
      <w:r w:rsidRPr="00B55087">
        <w:rPr>
          <w:i/>
        </w:rPr>
        <w:t>permissions</w:t>
      </w:r>
      <w:r>
        <w:t xml:space="preserve"> to use IFRS are not mentioned, e.g. (i) permission in the US for foreign SEC registrants, or (ii) permission in Japan for Japanese companies. A table which tried to deal with permissions would be very complex, and would not be relevant for the purpose here.</w:t>
      </w:r>
    </w:p>
    <w:p w14:paraId="1DD24A4E" w14:textId="77777777" w:rsidR="00D2643B" w:rsidRDefault="00D2643B" w:rsidP="006B14AD">
      <w:pPr>
        <w:spacing w:after="60" w:line="480" w:lineRule="auto"/>
      </w:pPr>
      <w:r>
        <w:tab/>
        <w:t xml:space="preserve">Column 2 of Table 1 records that IASB-IFRS is not required in any of the 16 countries for the reporting of all types of entities which are regulated.  There would be a more efficient way of conveying this information, but that display suits the purpose outlined in the previous paragraph.  Column 3 reports on countries where IASB-IFRS is required for at least some types of reporting (e.g. </w:t>
      </w:r>
      <w:r w:rsidR="005564E7">
        <w:t xml:space="preserve">the </w:t>
      </w:r>
      <w:r>
        <w:t xml:space="preserve">consolidated statements of </w:t>
      </w:r>
      <w:r w:rsidR="005564E7">
        <w:t xml:space="preserve">all </w:t>
      </w:r>
      <w:r>
        <w:t xml:space="preserve">listed companies).  Only Russia and South Africa are recorded as ‘Yes’.  I treat the Russian translation of IFRS as IASB-IFRS because it has been approved by the IASB. Whether Russian companies are fully complying with this recent requirement to use IFRS is a different (empirical) matter. Canada is not included in Column 3 because it </w:t>
      </w:r>
      <w:r w:rsidR="00C41E87">
        <w:t xml:space="preserve">does not require IFRS for </w:t>
      </w:r>
      <w:r>
        <w:t xml:space="preserve">Canadian companies which are </w:t>
      </w:r>
      <w:r w:rsidR="00C41E87">
        <w:t xml:space="preserve">rate-regulated or are </w:t>
      </w:r>
      <w:r>
        <w:t xml:space="preserve">also listed in the </w:t>
      </w:r>
      <w:r>
        <w:lastRenderedPageBreak/>
        <w:t>USA</w:t>
      </w:r>
      <w:r w:rsidR="00C41E87">
        <w:t xml:space="preserve">; </w:t>
      </w:r>
      <w:r w:rsidR="005564E7">
        <w:t xml:space="preserve">for example, </w:t>
      </w:r>
      <w:r w:rsidR="00C41E87">
        <w:t>of the 60 members of the main stock market index (TMX S&amp;P), only 49 companies used IFRS for 2011</w:t>
      </w:r>
      <w:r>
        <w:t>.</w:t>
      </w:r>
      <w:r w:rsidR="00C41E87">
        <w:rPr>
          <w:rStyle w:val="FootnoteReference"/>
        </w:rPr>
        <w:footnoteReference w:id="11"/>
      </w:r>
    </w:p>
    <w:p w14:paraId="27795566" w14:textId="77777777" w:rsidR="00D2643B" w:rsidRDefault="00D2643B" w:rsidP="006B14AD">
      <w:pPr>
        <w:spacing w:after="60" w:line="480" w:lineRule="auto"/>
      </w:pPr>
      <w:r>
        <w:tab/>
        <w:t xml:space="preserve">Columns 4 and 5 concern versions of IFRS which are intended </w:t>
      </w:r>
      <w:r w:rsidR="003F1EA8">
        <w:t xml:space="preserve">by regulators </w:t>
      </w:r>
      <w:r>
        <w:t xml:space="preserve">to lead to compliance with IASB-IFRS. No extra countries appear with a ‘Yes’ in Column 4.  Those </w:t>
      </w:r>
      <w:r w:rsidR="003F1EA8">
        <w:t xml:space="preserve">three countries </w:t>
      </w:r>
      <w:r>
        <w:t xml:space="preserve">appearing for the first time in Column 5 require, for some reporting, a version of IFRS that is not ‘as issued by the IASB’ because, for example, it does not allow early adoptions of new or amended standards.  Columns 6 and 7 concern versions of IFRS which currently </w:t>
      </w:r>
      <w:r w:rsidRPr="00F664A5">
        <w:rPr>
          <w:i/>
        </w:rPr>
        <w:t xml:space="preserve">allow </w:t>
      </w:r>
      <w:r>
        <w:t>companies to achieve compliance with IASB-IFRS. No extra countries appear in Column 6, but Column 7 contains the EU countries.</w:t>
      </w:r>
    </w:p>
    <w:p w14:paraId="74CDF355" w14:textId="77777777" w:rsidR="00D2643B" w:rsidRDefault="00D2643B" w:rsidP="006B14AD">
      <w:pPr>
        <w:spacing w:after="60" w:line="480" w:lineRule="auto"/>
      </w:pPr>
      <w:r>
        <w:tab/>
        <w:t xml:space="preserve">Column 8 concerns unconsolidated statements. No version of IFRS is required for this purpose for all regulated companies in any of the jurisdictions. It is not generally the topic of this paper to investigate the many jurisdictions where versions of IFRS </w:t>
      </w:r>
      <w:r w:rsidRPr="008C07F6">
        <w:t>are</w:t>
      </w:r>
      <w:r w:rsidRPr="00D61BD6">
        <w:t xml:space="preserve"> </w:t>
      </w:r>
      <w:r w:rsidRPr="008C07F6">
        <w:rPr>
          <w:i/>
        </w:rPr>
        <w:t>allowed</w:t>
      </w:r>
      <w:r>
        <w:t>. However, relaxing the strict approach, Column 8 also records any cases where a version of IFRS is allowed for unconsolidated reporting. The UK is the only EU country of Table 1 which is recorded as ‘(A)’ because the others require national GAAP to be used for the unconsolidated statements from which tax and distribution are calculated.</w:t>
      </w:r>
    </w:p>
    <w:p w14:paraId="1BFCF672" w14:textId="77777777" w:rsidR="00D2643B" w:rsidRDefault="00D2643B" w:rsidP="006B14AD">
      <w:pPr>
        <w:spacing w:after="60" w:line="480" w:lineRule="auto"/>
      </w:pPr>
      <w:r>
        <w:tab/>
        <w:t>In summary, because of the way of asking the questions, there is little ‘Yes’ in Table 1.  Only 9 of the 16 countries have any ‘Yes’ at all. It would be easy to reduce the ‘Yes’ further by deleting the three countries with the smallest of the 16 stock markets (South Korea, South Africa and Spain).</w:t>
      </w:r>
    </w:p>
    <w:p w14:paraId="528742EA" w14:textId="77777777" w:rsidR="00D2643B" w:rsidRDefault="00D2643B" w:rsidP="000305A5">
      <w:pPr>
        <w:spacing w:after="60" w:line="480" w:lineRule="auto"/>
        <w:ind w:firstLine="720"/>
      </w:pPr>
      <w:r>
        <w:t xml:space="preserve">As we move to the right across Table 1, a date is inserted for the first appearance of ‘Yes’ for any country.  The date refers to the earliest accounting period ending on 31 December for which the ‘Yes’ applies.  As may be seen, there are no such </w:t>
      </w:r>
      <w:r>
        <w:lastRenderedPageBreak/>
        <w:t>imple</w:t>
      </w:r>
      <w:r w:rsidR="003F1EA8">
        <w:t>mentations before 2005, and three</w:t>
      </w:r>
      <w:r>
        <w:t xml:space="preserve"> out of nine implementations are recent, relating to 2010 or later.</w:t>
      </w:r>
    </w:p>
    <w:p w14:paraId="2A1EDA22" w14:textId="77777777" w:rsidR="00D2643B" w:rsidRDefault="00D2643B" w:rsidP="000305A5">
      <w:pPr>
        <w:spacing w:after="60" w:line="480" w:lineRule="auto"/>
        <w:ind w:firstLine="720"/>
      </w:pPr>
      <w:r>
        <w:t xml:space="preserve">Researchers might find it valuable to consider Table 1 when assessing the reliability of reports about IFRS adoption.  For example, Francis </w:t>
      </w:r>
      <w:r>
        <w:rPr>
          <w:i/>
        </w:rPr>
        <w:t>et al</w:t>
      </w:r>
      <w:r>
        <w:t xml:space="preserve">. (2008) present a table showing that most </w:t>
      </w:r>
      <w:r w:rsidRPr="00FA51DC">
        <w:rPr>
          <w:i/>
        </w:rPr>
        <w:t>unlisted</w:t>
      </w:r>
      <w:r>
        <w:t xml:space="preserve"> companies in a majority of 56 countries (including many EU countries) had ‘adopted’</w:t>
      </w:r>
      <w:r>
        <w:rPr>
          <w:rStyle w:val="FootnoteReference"/>
        </w:rPr>
        <w:footnoteReference w:id="12"/>
      </w:r>
      <w:r>
        <w:t xml:space="preserve"> IFRS by 1999/2000.  This cannot have been the case (see columns 6 or 8 of Table 1) if ‘adopted’ means compliance, as it generally does in the empirical and other literature (e.g. Ashbaugh, 2001;  Ashbaugh and Pincus, 2001;  Leuz, 2003; Jermakowicz, 2004; Barth </w:t>
      </w:r>
      <w:r>
        <w:rPr>
          <w:i/>
        </w:rPr>
        <w:t>et al</w:t>
      </w:r>
      <w:r>
        <w:t xml:space="preserve">., 2008;  Cuijpers and Buijink, 2005;  Gassen and Sellhorn, 2006; Hoogendoorn, 2006 and Christensen </w:t>
      </w:r>
      <w:r>
        <w:rPr>
          <w:i/>
        </w:rPr>
        <w:t>et al</w:t>
      </w:r>
      <w:r>
        <w:t>., 2007). Country of domicile is by no means a complete predictor of which GAAP will be adopted by a company, but it does make some answers unlikely or (without dual reporting) legally impossible.</w:t>
      </w:r>
    </w:p>
    <w:p w14:paraId="7CA31CFE" w14:textId="77777777" w:rsidR="00D2643B" w:rsidRDefault="00D2643B" w:rsidP="000305A5">
      <w:pPr>
        <w:spacing w:after="60" w:line="480" w:lineRule="auto"/>
        <w:ind w:firstLine="720"/>
      </w:pPr>
      <w:r>
        <w:t>Research work on na</w:t>
      </w:r>
      <w:r w:rsidR="003F1EA8">
        <w:t>tional implementations has taken</w:t>
      </w:r>
      <w:r>
        <w:t xml:space="preserve"> many different directions. For example, Leuz (2010) seeks to explain clusters of countries with similar IFRS implementations; Gonch</w:t>
      </w:r>
      <w:r w:rsidR="00773DC0">
        <w:t>a</w:t>
      </w:r>
      <w:r>
        <w:t xml:space="preserve">rov </w:t>
      </w:r>
      <w:r w:rsidRPr="009D2C71">
        <w:rPr>
          <w:i/>
        </w:rPr>
        <w:t>et al.</w:t>
      </w:r>
      <w:r>
        <w:t xml:space="preserve"> (2011) examine the economic functions of the dual (IFRS/national) accounting system in Germany.</w:t>
      </w:r>
    </w:p>
    <w:p w14:paraId="189C49E4" w14:textId="77777777" w:rsidR="00D2643B" w:rsidRDefault="003F1EA8" w:rsidP="009C2C75">
      <w:pPr>
        <w:spacing w:after="60" w:line="480" w:lineRule="auto"/>
        <w:ind w:firstLine="720"/>
      </w:pPr>
      <w:r>
        <w:t>N</w:t>
      </w:r>
      <w:r w:rsidR="00D2643B">
        <w:t xml:space="preserve">othing in this paper should be read as implying that the IASC and IASB have not succeeded in reducing international differences in financial reporting, and therefore in increasing comparability. The consolidated statements of thousands of listed companies are complying with IASB-IFRS, even if many (e.g. nearly all EU companies) do not acknowledge this. It is clear, for example, that German and UK listed companies now publish consolidated statements which are much more similar than before IFRS was </w:t>
      </w:r>
      <w:r w:rsidR="00D2643B">
        <w:lastRenderedPageBreak/>
        <w:t>adopted, and that both German</w:t>
      </w:r>
      <w:r w:rsidR="00D2643B">
        <w:rPr>
          <w:rStyle w:val="FootnoteReference"/>
        </w:rPr>
        <w:footnoteReference w:id="13"/>
      </w:r>
      <w:r w:rsidR="00D2643B">
        <w:t xml:space="preserve"> and UK</w:t>
      </w:r>
      <w:r w:rsidR="00D2643B">
        <w:rPr>
          <w:rStyle w:val="FootnoteReference"/>
        </w:rPr>
        <w:footnoteReference w:id="14"/>
      </w:r>
      <w:r w:rsidR="00D2643B">
        <w:t xml:space="preserve"> national rules have been changed towards IFRS. </w:t>
      </w:r>
    </w:p>
    <w:p w14:paraId="3ECB6EFE" w14:textId="77777777" w:rsidR="00D2643B" w:rsidRPr="003471CF" w:rsidRDefault="00D2643B" w:rsidP="009C2C75">
      <w:pPr>
        <w:spacing w:after="60" w:line="480" w:lineRule="auto"/>
        <w:ind w:firstLine="720"/>
        <w:rPr>
          <w:b/>
        </w:rPr>
      </w:pPr>
      <w:r>
        <w:rPr>
          <w:b/>
        </w:rPr>
        <w:t xml:space="preserve">3. </w:t>
      </w:r>
      <w:r w:rsidRPr="003471CF">
        <w:rPr>
          <w:b/>
        </w:rPr>
        <w:t>Language and enforcement</w:t>
      </w:r>
    </w:p>
    <w:p w14:paraId="1D6DE4D6" w14:textId="77777777" w:rsidR="00D2643B" w:rsidRPr="003471CF" w:rsidRDefault="00D2643B" w:rsidP="003471CF">
      <w:pPr>
        <w:rPr>
          <w:i/>
        </w:rPr>
      </w:pPr>
      <w:r>
        <w:rPr>
          <w:i/>
        </w:rPr>
        <w:t xml:space="preserve">3.1 </w:t>
      </w:r>
      <w:r w:rsidRPr="003471CF">
        <w:rPr>
          <w:i/>
        </w:rPr>
        <w:t>Introduction</w:t>
      </w:r>
    </w:p>
    <w:p w14:paraId="1BF0A210" w14:textId="77777777" w:rsidR="00D2643B" w:rsidRDefault="00D2643B" w:rsidP="006B14AD">
      <w:pPr>
        <w:spacing w:after="60" w:line="480" w:lineRule="auto"/>
      </w:pPr>
      <w:r>
        <w:t xml:space="preserve">As discussed in Section 2, the jurisdiction in which an entity operates will determine the version of IFRS with which the entity is required or allowed to comply.  However, there are other aspects of nationality that will also affect IFRS practices.  Ball (2006) and Nobes (2006) explain how, even if all entities are apparently complying with IFRS, the incentives of preparers and enforcers remain “primarily local” (Ball, 2006, p.15).  </w:t>
      </w:r>
      <w:r w:rsidR="0088499E">
        <w:t xml:space="preserve">Wysocki (2011) shows how the determinants and outcomes of IFRS and non-accounting institutions are intertwined. </w:t>
      </w:r>
      <w:r>
        <w:t xml:space="preserve">Section 4 of this paper focuses on issues of judgement and choice with respect to policies on recognition, measurement and presentation.  Before that, this section looks at two other national issues:  language and enforcement. From here on, a large number of accounting standards are referred to. In order to avoid clutter, they are referred to by their numbers only, but the full title of each of these standards is shown in an Appendix to this paper. </w:t>
      </w:r>
    </w:p>
    <w:p w14:paraId="7985FBC0" w14:textId="77777777" w:rsidR="00D2643B" w:rsidRDefault="00D2643B" w:rsidP="006B14AD">
      <w:pPr>
        <w:spacing w:after="60" w:line="480" w:lineRule="auto"/>
      </w:pPr>
      <w:r>
        <w:tab/>
        <w:t>The issues of language and enforcement can be introduced with the aid of a typical</w:t>
      </w:r>
      <w:r>
        <w:rPr>
          <w:rStyle w:val="FootnoteReference"/>
        </w:rPr>
        <w:footnoteReference w:id="15"/>
      </w:r>
      <w:r>
        <w:t xml:space="preserve"> audit report on IFRS financial statements in the EU. This one relates to a German company’s</w:t>
      </w:r>
      <w:r>
        <w:rPr>
          <w:rStyle w:val="FootnoteReference"/>
        </w:rPr>
        <w:footnoteReference w:id="16"/>
      </w:r>
      <w:r>
        <w:t xml:space="preserve"> consolidated statements, as follows:</w:t>
      </w:r>
    </w:p>
    <w:p w14:paraId="241800F1" w14:textId="77777777" w:rsidR="00D2643B" w:rsidRDefault="00D2643B" w:rsidP="00C9284F">
      <w:pPr>
        <w:spacing w:after="60" w:line="480" w:lineRule="auto"/>
        <w:ind w:left="720"/>
      </w:pPr>
      <w:r>
        <w:lastRenderedPageBreak/>
        <w:t>We conducted our audit in accordance with §317 HGB and German generally accepted standards for the audit …. promulgated by the Institut der Wirtschaftsprüfer ….</w:t>
      </w:r>
    </w:p>
    <w:p w14:paraId="47E8F1B2" w14:textId="77777777" w:rsidR="00D2643B" w:rsidRDefault="00D2643B" w:rsidP="00C9284F">
      <w:pPr>
        <w:spacing w:after="60" w:line="480" w:lineRule="auto"/>
        <w:ind w:left="720"/>
      </w:pPr>
      <w:r>
        <w:t>According to §322 Abs. 3 Satz 1 HGB, we state that our audit …. has not led to any reservations.</w:t>
      </w:r>
    </w:p>
    <w:p w14:paraId="4E8D12D4" w14:textId="77777777" w:rsidR="00D2643B" w:rsidRDefault="00D2643B" w:rsidP="00E86061">
      <w:pPr>
        <w:spacing w:after="120" w:line="480" w:lineRule="auto"/>
        <w:ind w:left="720"/>
      </w:pPr>
      <w:r>
        <w:t>In our opinion, …. the consolidated statements comply …. with IFRSs, as adopted by the EU, and the additional requirements of German commercial law pursuant to §315a Abs. 1 HGB and give a true and fair view …. in accordance with these requirements.</w:t>
      </w:r>
    </w:p>
    <w:p w14:paraId="15182EB4" w14:textId="77777777" w:rsidR="00D2643B" w:rsidRDefault="00D2643B" w:rsidP="00E86061">
      <w:pPr>
        <w:spacing w:after="60" w:line="480" w:lineRule="auto"/>
      </w:pPr>
      <w:r>
        <w:tab/>
        <w:t>The auditors reveal (or imply) at least eight ‘national’ (or EU) aspects of the reporting: (i) the audit is required by German law and its quality would be assessed under German law, (ii) the auditors use German professional audit standards (although these are now closely based on international standards), (iii) the auditors comply with particular German legal requirements for what must be stated, (iv) the accounting standards are “IFRS, as adopted by the E.U.”, which (as explained above) is not the same thing as IASB-IFRS even though the company might be complying with IASB-IFRS, (v) because the reporting is under German law, it is the German language version of EU-adopted IFRS that applies legally, (vi) German law contains extra accounting requirements, (vii) the auditors apparently</w:t>
      </w:r>
      <w:r>
        <w:rPr>
          <w:rStyle w:val="FootnoteReference"/>
        </w:rPr>
        <w:footnoteReference w:id="17"/>
      </w:r>
      <w:r>
        <w:t xml:space="preserve"> report on ‘true and fair’ rathe</w:t>
      </w:r>
      <w:r w:rsidR="000D7D94">
        <w:t>r than on the ‘fair</w:t>
      </w:r>
      <w:r>
        <w:t>’ required by IAS 1 (see Section 3.2), and (viii) German law contains particular references to ‘true and fair’ which weaken the ‘override’ (see below). The audit points contained here could affect the quality of reporting because they might affect compliance (see Section 3.3).</w:t>
      </w:r>
    </w:p>
    <w:p w14:paraId="5BC46124" w14:textId="77777777" w:rsidR="00D2643B" w:rsidRPr="003471CF" w:rsidRDefault="00D2643B" w:rsidP="00E86061">
      <w:pPr>
        <w:spacing w:after="60" w:line="480" w:lineRule="auto"/>
        <w:rPr>
          <w:i/>
        </w:rPr>
      </w:pPr>
      <w:r>
        <w:rPr>
          <w:i/>
        </w:rPr>
        <w:t xml:space="preserve">3.2 </w:t>
      </w:r>
      <w:r w:rsidRPr="003471CF">
        <w:rPr>
          <w:i/>
        </w:rPr>
        <w:t>Language</w:t>
      </w:r>
    </w:p>
    <w:p w14:paraId="17CF934C" w14:textId="77777777" w:rsidR="00D2643B" w:rsidRDefault="00D2643B">
      <w:pPr>
        <w:spacing w:after="60" w:line="480" w:lineRule="auto"/>
        <w:ind w:right="-64"/>
      </w:pPr>
      <w:r>
        <w:lastRenderedPageBreak/>
        <w:tab/>
        <w:t>Evans (2004) examines language difficulties in detail in the context of accounting. She points out the inevitability that some meaning will be lost in translation.  Zeff (2007) includes problems of translation and terminology in his survey of obstacles to global comparability of financial reporting. The translations of ‘true and fair view’ and ‘fair presentation’ were investigated in detail for several languages by Nobes (2009, pp.417-9).  The various official translations have rendered ‘true and fair’ and ‘fair’ identically, although the German translations use different words for ‘view’ and ‘presentation’.</w:t>
      </w:r>
      <w:r>
        <w:rPr>
          <w:rStyle w:val="FootnoteReference"/>
        </w:rPr>
        <w:footnoteReference w:id="18"/>
      </w:r>
      <w:r>
        <w:t xml:space="preserve">   When translating German documents the other way, into English, the translators have to remember to use ‘true and fair view’ in a legal context (e.g. for the audit report quoted in Section 3.1) but ‘fair presentation’ in the context of IAS 1.</w:t>
      </w:r>
    </w:p>
    <w:p w14:paraId="11528FB2" w14:textId="77777777" w:rsidR="00D2643B" w:rsidRDefault="00D2643B" w:rsidP="00EB2A08">
      <w:pPr>
        <w:spacing w:after="60" w:line="480" w:lineRule="auto"/>
      </w:pPr>
      <w:r>
        <w:tab/>
        <w:t xml:space="preserve">German law does not include the ‘true and fair override’ despite its being required by the EU’s Fourth Directive on company law (Nobes, 1993).  However, the German version of EU-adopted IFRS does include the ‘fair presentation override’ of IAS 1.  Nobes (2009) investigates the use of the override in the context of IFRS, including the famous case of </w:t>
      </w:r>
      <w:r>
        <w:rPr>
          <w:i/>
        </w:rPr>
        <w:t>Société Générale</w:t>
      </w:r>
      <w:r>
        <w:t xml:space="preserve"> in which, on its 2007 financial statements, the company received a clean audit report from two Big-4 firms after explaining that it had departed from IASs 1, 10 and 37. To the extent that this would have been less likely to happen in Germany or the UK, cultural rather than linguistic explanations might be needed (Standish, 2003; Burlaud and Colasse, 2011; Danjou and Walton, 2012).</w:t>
      </w:r>
    </w:p>
    <w:p w14:paraId="275F6546" w14:textId="77777777" w:rsidR="00D2643B" w:rsidRDefault="00D2643B">
      <w:pPr>
        <w:spacing w:after="60" w:line="480" w:lineRule="auto"/>
        <w:ind w:right="-64"/>
      </w:pPr>
      <w:r>
        <w:tab/>
        <w:t>More simply, there are some clear errors of translation.  To give a German example, the discount rate required by IAS 19 (para. 83) for pension obligations is that on ‘corporate bonds’.  However, the official EU German text renders this as ‘</w:t>
      </w:r>
      <w:r w:rsidRPr="00902714">
        <w:rPr>
          <w:i/>
        </w:rPr>
        <w:t>Industrieanleihen</w:t>
      </w:r>
      <w:r>
        <w:t xml:space="preserve">’. Such industrial bonds are a sub-set of corporate bonds, perhaps with </w:t>
      </w:r>
      <w:r>
        <w:lastRenderedPageBreak/>
        <w:t>different, or differently volatile, average interest rates.  The IASB’s approved German translation (but not the EU’s) was corrected to ‘</w:t>
      </w:r>
      <w:r>
        <w:rPr>
          <w:i/>
        </w:rPr>
        <w:t>Unternehmensanleihen</w:t>
      </w:r>
      <w:r>
        <w:t>’ in 2010.</w:t>
      </w:r>
    </w:p>
    <w:p w14:paraId="11BCFE75" w14:textId="77777777" w:rsidR="00D2643B" w:rsidRDefault="00D2643B" w:rsidP="00EB2A08">
      <w:pPr>
        <w:spacing w:after="60" w:line="480" w:lineRule="auto"/>
      </w:pPr>
      <w:r>
        <w:tab/>
        <w:t>Baskerville and Evans (2011) examine the complex issues to be considered when translating IFRS. Dahlgren and Nilsson (2012) give many detailed examples of translating IFRS into Swedish, noting several straight-forward errors. However, they make the more general point that, because conceptual structures in different languages do not match perfectly, some accounting concepts are “simply not translatable” (p.57).</w:t>
      </w:r>
    </w:p>
    <w:p w14:paraId="1A7A81AF" w14:textId="77777777" w:rsidR="00D2643B" w:rsidRPr="003471CF" w:rsidRDefault="00D2643B" w:rsidP="00EB2A08">
      <w:pPr>
        <w:spacing w:after="60" w:line="480" w:lineRule="auto"/>
        <w:rPr>
          <w:i/>
        </w:rPr>
      </w:pPr>
      <w:r>
        <w:rPr>
          <w:i/>
        </w:rPr>
        <w:t xml:space="preserve">3.3 </w:t>
      </w:r>
      <w:r w:rsidR="000D7D94">
        <w:rPr>
          <w:i/>
        </w:rPr>
        <w:t>Monitoring and e</w:t>
      </w:r>
      <w:r w:rsidRPr="003471CF">
        <w:rPr>
          <w:i/>
        </w:rPr>
        <w:t>nforcement</w:t>
      </w:r>
    </w:p>
    <w:p w14:paraId="68CDCC5F" w14:textId="77777777" w:rsidR="000D7D94" w:rsidRDefault="000D7D94" w:rsidP="000D7D94">
      <w:pPr>
        <w:spacing w:after="60" w:line="480" w:lineRule="auto"/>
      </w:pPr>
      <w:r>
        <w:tab/>
        <w:t xml:space="preserve">The quality of </w:t>
      </w:r>
      <w:r w:rsidR="00D2643B">
        <w:t>audit and of other monitoring of compliance is a national issue, although there is some co-ordination and exchange of information on enforcement at the EU level through the European Securities and Markets Authority (ESMA).  Efforts have been made to avoid national or European ‘interpretations’ of IFRS, but that topic takes us into the following section of this paper, which is concerned with IFRS policies.</w:t>
      </w:r>
      <w:r>
        <w:t xml:space="preserve"> Ball </w:t>
      </w:r>
      <w:r>
        <w:rPr>
          <w:i/>
        </w:rPr>
        <w:t>et al</w:t>
      </w:r>
      <w:r>
        <w:t xml:space="preserve">. (2000) suggest that the strength of enforcement is related to a country’s position in the common/code law classification.  Brown and Tarca (2005) examine the </w:t>
      </w:r>
      <w:r w:rsidR="006402E2">
        <w:t xml:space="preserve">varying </w:t>
      </w:r>
      <w:r>
        <w:t xml:space="preserve">strength of the enforcement agencies of some countries. </w:t>
      </w:r>
    </w:p>
    <w:p w14:paraId="3A264263" w14:textId="77777777" w:rsidR="00D2643B" w:rsidRDefault="000D7D94" w:rsidP="000D7D94">
      <w:pPr>
        <w:spacing w:after="60" w:line="480" w:lineRule="auto"/>
      </w:pPr>
      <w:r>
        <w:tab/>
      </w:r>
      <w:r w:rsidR="00D2643B">
        <w:t xml:space="preserve">If auditors and companies are weakly monitored </w:t>
      </w:r>
      <w:r>
        <w:t xml:space="preserve">or subjected to little enforcement </w:t>
      </w:r>
      <w:r w:rsidR="00D2643B">
        <w:t xml:space="preserve">in a particular country, non-compliance with IFRS is likely to occur. </w:t>
      </w:r>
      <w:r>
        <w:t>Non-compliance is one cause of different practices even within jurisdictions which apparently require IFRS.</w:t>
      </w:r>
      <w:r w:rsidR="00D2643B">
        <w:t xml:space="preserve"> At one stage, for example, it was suggested that non-compliance with IFRS </w:t>
      </w:r>
      <w:r w:rsidR="00751551">
        <w:t xml:space="preserve">disclosure requirements </w:t>
      </w:r>
      <w:r w:rsidR="00D2643B">
        <w:t>by German companies</w:t>
      </w:r>
      <w:r w:rsidR="00751551">
        <w:t xml:space="preserve"> </w:t>
      </w:r>
      <w:r w:rsidR="00D2643B">
        <w:t xml:space="preserve">was substantial (Street and Bryant, 2000; Street and Gray, 2001; Glaum and Street, 2003).  German compliance might now have greatly improved (Berger, 2010; Meyer, 2011; Hitz </w:t>
      </w:r>
      <w:r w:rsidR="00D2643B" w:rsidRPr="003471CF">
        <w:rPr>
          <w:i/>
        </w:rPr>
        <w:t>et al.</w:t>
      </w:r>
      <w:r w:rsidR="00D2643B" w:rsidRPr="003471CF">
        <w:t>,</w:t>
      </w:r>
      <w:r w:rsidR="00D2643B">
        <w:t xml:space="preserve"> 2012), but doubts remain about how fully companies in other countries, such as Russia (Krylova, 2003), will comply with IFRS. A pa</w:t>
      </w:r>
      <w:r w:rsidR="00751551">
        <w:t xml:space="preserve">n-European survey </w:t>
      </w:r>
      <w:r w:rsidR="00D2643B">
        <w:t xml:space="preserve">is provided by Glaum </w:t>
      </w:r>
      <w:r w:rsidR="00D2643B" w:rsidRPr="00F5221C">
        <w:rPr>
          <w:i/>
        </w:rPr>
        <w:t>et al.</w:t>
      </w:r>
      <w:r w:rsidR="00751551">
        <w:t xml:space="preserve"> (2013</w:t>
      </w:r>
      <w:r w:rsidR="00D2643B">
        <w:t>)</w:t>
      </w:r>
      <w:r w:rsidR="00751551">
        <w:t xml:space="preserve">, who reveal differential </w:t>
      </w:r>
      <w:r w:rsidR="00751551">
        <w:lastRenderedPageBreak/>
        <w:t>compliance with IFRS disclosures related to factors of both country and company (e.g. listing status and auditor)</w:t>
      </w:r>
      <w:r w:rsidR="00D2643B">
        <w:t>.</w:t>
      </w:r>
    </w:p>
    <w:p w14:paraId="68CD9CB0" w14:textId="77777777" w:rsidR="00D2643B" w:rsidRDefault="00D2643B" w:rsidP="0017315A">
      <w:pPr>
        <w:tabs>
          <w:tab w:val="left" w:pos="720"/>
        </w:tabs>
        <w:spacing w:after="60" w:line="480" w:lineRule="auto"/>
        <w:ind w:left="720" w:hanging="360"/>
        <w:rPr>
          <w:b/>
        </w:rPr>
      </w:pPr>
      <w:r>
        <w:rPr>
          <w:b/>
        </w:rPr>
        <w:t>4.</w:t>
      </w:r>
      <w:r>
        <w:rPr>
          <w:b/>
        </w:rPr>
        <w:tab/>
        <w:t>IFRS policies of recognition, measurement and presentation</w:t>
      </w:r>
    </w:p>
    <w:p w14:paraId="33010C24" w14:textId="77777777" w:rsidR="00D2643B" w:rsidRPr="00EC7199" w:rsidRDefault="00D2643B" w:rsidP="0017315A">
      <w:pPr>
        <w:spacing w:after="60" w:line="480" w:lineRule="auto"/>
        <w:rPr>
          <w:i/>
        </w:rPr>
      </w:pPr>
      <w:r>
        <w:rPr>
          <w:i/>
        </w:rPr>
        <w:t xml:space="preserve">4.1 </w:t>
      </w:r>
      <w:r w:rsidRPr="00EC7199">
        <w:rPr>
          <w:i/>
        </w:rPr>
        <w:t>Comparability</w:t>
      </w:r>
    </w:p>
    <w:p w14:paraId="4A3B92C0" w14:textId="77777777" w:rsidR="00D2643B" w:rsidRDefault="00D2643B" w:rsidP="0017315A">
      <w:pPr>
        <w:spacing w:after="60" w:line="480" w:lineRule="auto"/>
      </w:pPr>
      <w:r>
        <w:t>In this section, it is assumed that all the companies being considered are properly complying with IASB-IFRS.  That is, we set aside any differences in practice caused by differe</w:t>
      </w:r>
      <w:r w:rsidR="006402E2">
        <w:t xml:space="preserve">nt national versions of IFRS, </w:t>
      </w:r>
      <w:r>
        <w:t>by translations of IFRS or by non-compliance with IFRS.</w:t>
      </w:r>
    </w:p>
    <w:p w14:paraId="6A79A923" w14:textId="77777777" w:rsidR="00D2643B" w:rsidRDefault="00D2643B" w:rsidP="0017315A">
      <w:pPr>
        <w:spacing w:after="60" w:line="480" w:lineRule="auto"/>
      </w:pPr>
      <w:r>
        <w:tab/>
        <w:t xml:space="preserve"> IFRS (even the original English version of IASB-IFRS) contains various types of scope for varied practice.  One context in which to think about varied practice, and why it matters, is comparability.  This quality is central to the objectives of IFRS financial reporting (IASC, 1989, paras. 39-42; IASB, 2010, paras. QC 20-25).  In Nobes (2006) and several subsequent papers, it was assumed that comparability is undermined by any differences in IFRS practices which are associated with the nationality</w:t>
      </w:r>
      <w:r>
        <w:rPr>
          <w:rStyle w:val="FootnoteReference"/>
        </w:rPr>
        <w:footnoteReference w:id="19"/>
      </w:r>
      <w:r>
        <w:t xml:space="preserve"> of a company.  However, Jaafar and McLeay (2007) and Nobes and Stadler (2012) point out that apparently country-driven differences might be connected to internationally different mixes of industries, and that some accounting policies might be industry-specific.  For example, the use of weighted average inventory measurement (as opposed to first-in first-out, FIFO) might be common among a sample of German companies because it is appropriate for a particular industry whose members are numerous in the sample.  If that industry is less important in other countries, then the resulting international difference in inventory measurement does not necessarily suggest a lack of comparability.</w:t>
      </w:r>
    </w:p>
    <w:p w14:paraId="585A984D" w14:textId="77777777" w:rsidR="00D2643B" w:rsidRDefault="00D2643B" w:rsidP="0017315A">
      <w:pPr>
        <w:spacing w:after="60" w:line="480" w:lineRule="auto"/>
      </w:pPr>
      <w:r>
        <w:lastRenderedPageBreak/>
        <w:tab/>
        <w:t>Apart from the issues discussed in Sections 2 and 3 above, the various types of scope for varied IFRS practice identified by Nobes (2006) were: (i) overt options, (ii) covert options or vague criteria, (iii) gaps in the requirements, (iv) estimations, and (v) first-time adoption issues.  Later in this section, the examples of types (i) and (ii) will be up-dated and expanded, focussing on what might be useful for researchers.  Before that, let us deal briefly with the other three types.</w:t>
      </w:r>
    </w:p>
    <w:p w14:paraId="2691B417" w14:textId="77777777" w:rsidR="00D2643B" w:rsidRPr="00EC7199" w:rsidRDefault="00D2643B" w:rsidP="0017315A">
      <w:pPr>
        <w:spacing w:after="60" w:line="480" w:lineRule="auto"/>
        <w:rPr>
          <w:i/>
        </w:rPr>
      </w:pPr>
      <w:r>
        <w:rPr>
          <w:i/>
        </w:rPr>
        <w:t xml:space="preserve">4.2 </w:t>
      </w:r>
      <w:r w:rsidRPr="00EC7199">
        <w:rPr>
          <w:i/>
        </w:rPr>
        <w:t>Gaps in IFRS</w:t>
      </w:r>
      <w:r>
        <w:rPr>
          <w:i/>
        </w:rPr>
        <w:t>, measurement estimations and first-time adoption</w:t>
      </w:r>
    </w:p>
    <w:p w14:paraId="3EB6A255" w14:textId="77777777" w:rsidR="00280294" w:rsidRDefault="00D2643B" w:rsidP="0017315A">
      <w:pPr>
        <w:spacing w:after="60" w:line="480" w:lineRule="auto"/>
      </w:pPr>
      <w:r>
        <w:tab/>
        <w:t xml:space="preserve">Gaps in any GAAP are, of course, inevitable.  IAS 8 deals with the selection of accounting policies when IFRS does not deal with an issue.  This leaves much room for judgement and therefore for different solutions. For example, at the time of writing, IFRSs  4 and 6 do not provide requirements on several major issues of accounting for insurance contracts and for oil and gas exploration, respectively. Indeed, those standards allow </w:t>
      </w:r>
      <w:r w:rsidRPr="006402E2">
        <w:rPr>
          <w:i/>
        </w:rPr>
        <w:t>more</w:t>
      </w:r>
      <w:r>
        <w:t xml:space="preserve"> flexibility than IAS 8 normally does (see Table 2).</w:t>
      </w:r>
      <w:r w:rsidRPr="00A332D6">
        <w:t xml:space="preserve"> </w:t>
      </w:r>
    </w:p>
    <w:p w14:paraId="7F7E77C2" w14:textId="77777777" w:rsidR="00B82508" w:rsidRDefault="00280294" w:rsidP="00B82508">
      <w:pPr>
        <w:spacing w:after="60" w:line="480" w:lineRule="auto"/>
        <w:jc w:val="center"/>
      </w:pPr>
      <w:r>
        <w:t>INSERT TABLE 2 HEREABOUTS</w:t>
      </w:r>
    </w:p>
    <w:p w14:paraId="31C5485C" w14:textId="77777777" w:rsidR="00D2643B" w:rsidRDefault="00D2643B" w:rsidP="0017315A">
      <w:pPr>
        <w:spacing w:after="60" w:line="480" w:lineRule="auto"/>
      </w:pPr>
      <w:r>
        <w:t xml:space="preserve">The gaps in IFRS were mentioned by the SEC (2011) as one reason for wariness about implementing IFRS in the United States.  US GAAP does have requirements in the above areas. </w:t>
      </w:r>
    </w:p>
    <w:p w14:paraId="7875C710" w14:textId="77777777" w:rsidR="00D2643B" w:rsidRDefault="00D2643B" w:rsidP="0017315A">
      <w:pPr>
        <w:spacing w:after="60" w:line="480" w:lineRule="auto"/>
      </w:pPr>
      <w:r>
        <w:tab/>
        <w:t>Nobes (2006, Table 4) recorded a number of areas in IFRS which require measurement estimations, such as assessing an asset’s useful life, its pattern of wearing out and its residual value (in order to calculate depreciation).  The examples in that table all remain in IFRS in 2012.  An important recent addition is several estimations needed for the disclosures on financial instruments required by IFRS 7, such as exposures to risks (paras. 33 and 36). These remarks are not a particular criticism of IFRS, bec</w:t>
      </w:r>
      <w:r w:rsidR="006402E2">
        <w:t>ause any GAAP would require many of these</w:t>
      </w:r>
      <w:r>
        <w:t xml:space="preserve"> measurement estimations. However, they are part of the scope for international variations in practice.</w:t>
      </w:r>
    </w:p>
    <w:p w14:paraId="5962A241" w14:textId="77777777" w:rsidR="00D2643B" w:rsidRDefault="00D2643B" w:rsidP="0017315A">
      <w:pPr>
        <w:spacing w:after="60" w:line="480" w:lineRule="auto"/>
      </w:pPr>
      <w:r>
        <w:lastRenderedPageBreak/>
        <w:tab/>
        <w:t xml:space="preserve">First-time adoption issues relate to the many choices in IFRS 1.  For example, in its pre-IFRS accounting, a company might have treated goodwill in one of several ways, such as: (i) held at zero, with a corresponding deduction from reserves, (ii) held on a cost basis, amortised over 5, 20 or 40 years, or (iii) held on a cost basis but checked for impairment every year.  Although IFRS 3 requires method (iii), a company is allowed, on first-time adoption of IFRS, to retain the </w:t>
      </w:r>
      <w:r w:rsidR="006402E2">
        <w:t xml:space="preserve">goodwill </w:t>
      </w:r>
      <w:r>
        <w:t>amount resulting from any other method in its first opening IFRS balance sheet.  The large differences between goodwill numbers prepared under the various bases can last for many years</w:t>
      </w:r>
      <w:r>
        <w:rPr>
          <w:rStyle w:val="FootnoteReference"/>
        </w:rPr>
        <w:footnoteReference w:id="20"/>
      </w:r>
      <w:r>
        <w:t xml:space="preserve"> after first IFRS adoption.</w:t>
      </w:r>
    </w:p>
    <w:p w14:paraId="37F771C1" w14:textId="77777777" w:rsidR="00D2643B" w:rsidRPr="00EC7199" w:rsidRDefault="00D2643B" w:rsidP="0017315A">
      <w:pPr>
        <w:spacing w:after="60" w:line="480" w:lineRule="auto"/>
        <w:rPr>
          <w:i/>
        </w:rPr>
      </w:pPr>
      <w:r>
        <w:rPr>
          <w:i/>
        </w:rPr>
        <w:t>4.3 O</w:t>
      </w:r>
      <w:r w:rsidRPr="00EC7199">
        <w:rPr>
          <w:i/>
        </w:rPr>
        <w:t>vert options</w:t>
      </w:r>
    </w:p>
    <w:p w14:paraId="2AD3C04C" w14:textId="77777777" w:rsidR="00D2643B" w:rsidRDefault="00D2643B" w:rsidP="0017315A">
      <w:pPr>
        <w:spacing w:after="60" w:line="480" w:lineRule="auto"/>
      </w:pPr>
      <w:r>
        <w:tab/>
        <w:t>An IFRS option is called ‘overt’ here if it is plainly specified as a choice</w:t>
      </w:r>
      <w:r>
        <w:rPr>
          <w:rStyle w:val="FootnoteReference"/>
        </w:rPr>
        <w:footnoteReference w:id="21"/>
      </w:r>
      <w:r>
        <w:t xml:space="preserve"> within a standard.  By contrast, ‘covert’ options (discussed in the next sub-section) exist where no choice is explicitly offered but where the degree of judgement involved might allow scope for the preferences of the preparers of financial statements.</w:t>
      </w:r>
    </w:p>
    <w:p w14:paraId="1884EC84" w14:textId="77777777" w:rsidR="00D2643B" w:rsidRDefault="00D2643B" w:rsidP="0017315A">
      <w:pPr>
        <w:spacing w:after="60" w:line="480" w:lineRule="auto"/>
      </w:pPr>
      <w:r>
        <w:tab/>
        <w:t>Table 2 expands and updates the list of overt options found in Nobes (2006).  Researchers might wish to divide these into ‘presentation’ and ‘recognition/measurement’ topics.  However, this is sometimes ambiguous.  For example, it is clear that the IAS 1 options in Table 2 relate to ‘presentation’ and that the IAS 16 or IAS 40 options are ‘measurement’.  However, the IAS 20 option which is expressed in the standard as an issue of presentation affects the measurement of assets. The IAS 7 options, again expressed as presentation, change totals such as ‘operating cash flows’.</w:t>
      </w:r>
    </w:p>
    <w:p w14:paraId="3E7253AD" w14:textId="77777777" w:rsidR="00D2643B" w:rsidRDefault="00D2643B" w:rsidP="0017315A">
      <w:pPr>
        <w:spacing w:after="60" w:line="480" w:lineRule="auto"/>
      </w:pPr>
      <w:r>
        <w:lastRenderedPageBreak/>
        <w:tab/>
        <w:t>IFRS has historically contained more options than most national GAAPs, because of the negotiations involved in setting standards internationally (e.g. Camfferman and Zeff, 2006, p.269). For example, US GAAP contains considerably fewer options,</w:t>
      </w:r>
      <w:r>
        <w:rPr>
          <w:rStyle w:val="FootnoteReference"/>
        </w:rPr>
        <w:footnoteReference w:id="22"/>
      </w:r>
      <w:r>
        <w:t xml:space="preserve"> although still allowing LIFO, which has been removed from IFRS. Over time, the IASB has removed options, in order to improve comparability.  Researchers would need to check which options were available for which period.  Table 3 shows the options which have been removed for various periods after 2004.  However, the IASB has not been able to avoid</w:t>
      </w:r>
      <w:r>
        <w:rPr>
          <w:rStyle w:val="FootnoteReference"/>
        </w:rPr>
        <w:footnoteReference w:id="23"/>
      </w:r>
      <w:r>
        <w:t xml:space="preserve"> </w:t>
      </w:r>
      <w:r w:rsidRPr="007F681E">
        <w:rPr>
          <w:i/>
        </w:rPr>
        <w:t>adding</w:t>
      </w:r>
      <w:r>
        <w:t xml:space="preserve"> options, such as that related to IFRS 3 in Table 2.</w:t>
      </w:r>
    </w:p>
    <w:p w14:paraId="4300F7E1" w14:textId="77777777" w:rsidR="00280294" w:rsidRDefault="00280294" w:rsidP="0017315A">
      <w:pPr>
        <w:spacing w:after="60" w:line="480" w:lineRule="auto"/>
      </w:pPr>
    </w:p>
    <w:p w14:paraId="17323906" w14:textId="77777777" w:rsidR="00B82508" w:rsidRDefault="00280294" w:rsidP="00B82508">
      <w:pPr>
        <w:spacing w:after="60" w:line="480" w:lineRule="auto"/>
        <w:jc w:val="center"/>
      </w:pPr>
      <w:r>
        <w:t>INSERT TABLE 3 HEREABOUTS</w:t>
      </w:r>
    </w:p>
    <w:p w14:paraId="7CC25D30" w14:textId="77777777" w:rsidR="00D2643B" w:rsidRDefault="00D2643B" w:rsidP="0017315A">
      <w:pPr>
        <w:spacing w:after="60" w:line="480" w:lineRule="auto"/>
      </w:pPr>
      <w:r>
        <w:tab/>
        <w:t>Although all the overt options are clearly visible in the standards, this does not mean that they are all well-suited to research. This is because: (i) some topics occur infrequently (e.g. in Table 2, the first IAS 2 choice, the IAS 8 choice, the IAS 38 choice and the first IAS 40 choice); and (ii) some relate to specific industries which the researcher might not be studying (e.g. the second IAS 39 choice, and the IFRS 4 and IFRS 6 issues).</w:t>
      </w:r>
    </w:p>
    <w:p w14:paraId="477DFB9D" w14:textId="77777777" w:rsidR="00D2643B" w:rsidRDefault="00D2643B" w:rsidP="0017315A">
      <w:pPr>
        <w:spacing w:after="60" w:line="480" w:lineRule="auto"/>
      </w:pPr>
      <w:r>
        <w:tab/>
        <w:t>Removing the rare issues leads us to a set of easily researched choices, as set out in Table 4.  These have formed the basis of recent empirical research which is discussed in Section 5.  Table 4 includes four items (shown with daggers) which are no longer options in 2013 but it excludes some items which have proved difficult to assess in practice.</w:t>
      </w:r>
      <w:r>
        <w:rPr>
          <w:rStyle w:val="FootnoteReference"/>
        </w:rPr>
        <w:footnoteReference w:id="24"/>
      </w:r>
    </w:p>
    <w:p w14:paraId="472A9592" w14:textId="77777777" w:rsidR="001F4CAA" w:rsidRDefault="001F4CAA" w:rsidP="0017315A">
      <w:pPr>
        <w:spacing w:after="60" w:line="480" w:lineRule="auto"/>
      </w:pPr>
    </w:p>
    <w:p w14:paraId="47B8CC38" w14:textId="77777777" w:rsidR="00B82508" w:rsidRDefault="001F4CAA" w:rsidP="00B82508">
      <w:pPr>
        <w:spacing w:after="60" w:line="480" w:lineRule="auto"/>
        <w:jc w:val="center"/>
      </w:pPr>
      <w:r>
        <w:t>INSERT TABLE 4 HEREABOUTS</w:t>
      </w:r>
    </w:p>
    <w:p w14:paraId="177F5371" w14:textId="77777777" w:rsidR="00D2643B" w:rsidRPr="00EC7199" w:rsidRDefault="00D2643B" w:rsidP="0017315A">
      <w:pPr>
        <w:spacing w:after="60" w:line="480" w:lineRule="auto"/>
        <w:rPr>
          <w:i/>
        </w:rPr>
      </w:pPr>
      <w:r>
        <w:rPr>
          <w:i/>
        </w:rPr>
        <w:t xml:space="preserve">4.4 </w:t>
      </w:r>
      <w:r w:rsidRPr="00EC7199">
        <w:rPr>
          <w:i/>
        </w:rPr>
        <w:t>Covert options</w:t>
      </w:r>
    </w:p>
    <w:p w14:paraId="0AB0DA64" w14:textId="77777777" w:rsidR="001F4CAA" w:rsidRDefault="00D2643B" w:rsidP="0017315A">
      <w:pPr>
        <w:spacing w:after="60" w:line="480" w:lineRule="auto"/>
      </w:pPr>
      <w:r>
        <w:tab/>
        <w:t xml:space="preserve">Turning to ‘covert’ options, Table 5 presents a list which is an expanded and up-dated version of that provided in Nobes (2006, Table 2). </w:t>
      </w:r>
    </w:p>
    <w:p w14:paraId="3DB6D49E" w14:textId="77777777" w:rsidR="00B82508" w:rsidRDefault="001F4CAA" w:rsidP="00B82508">
      <w:pPr>
        <w:spacing w:after="60" w:line="480" w:lineRule="auto"/>
        <w:jc w:val="center"/>
      </w:pPr>
      <w:r>
        <w:t>INSERT TABLE 5 HEREABOUTS</w:t>
      </w:r>
    </w:p>
    <w:p w14:paraId="2A078445" w14:textId="77777777" w:rsidR="00D2643B" w:rsidRDefault="00D2643B" w:rsidP="0017315A">
      <w:pPr>
        <w:spacing w:after="60" w:line="480" w:lineRule="auto"/>
      </w:pPr>
      <w:r>
        <w:t xml:space="preserve"> An example of an important covert option is the degree to which development costs are capitalised, which depends on the interpretation of several somewhat vague criteria. As with overt options, IFRS contains more of them than some other GAAPs. For example, the one in the previous sentence does not apply generally</w:t>
      </w:r>
      <w:r>
        <w:rPr>
          <w:rStyle w:val="FootnoteReference"/>
        </w:rPr>
        <w:footnoteReference w:id="25"/>
      </w:r>
      <w:r>
        <w:t xml:space="preserve"> in US GAAP, and neither do several others.</w:t>
      </w:r>
      <w:r>
        <w:rPr>
          <w:rStyle w:val="FootnoteReference"/>
        </w:rPr>
        <w:footnoteReference w:id="26"/>
      </w:r>
    </w:p>
    <w:p w14:paraId="7D6A20DB" w14:textId="77777777" w:rsidR="00D2643B" w:rsidRDefault="00D2643B" w:rsidP="0017315A">
      <w:pPr>
        <w:spacing w:after="60" w:line="480" w:lineRule="auto"/>
      </w:pPr>
      <w:r>
        <w:tab/>
      </w:r>
      <w:r w:rsidR="00773DC0">
        <w:t>Not only are c</w:t>
      </w:r>
      <w:r>
        <w:t>overt options hidden from view in the standards</w:t>
      </w:r>
      <w:r w:rsidR="00773DC0">
        <w:t>;</w:t>
      </w:r>
      <w:r>
        <w:t xml:space="preserve"> the exercise of </w:t>
      </w:r>
      <w:r w:rsidR="00773DC0">
        <w:t xml:space="preserve">such options </w:t>
      </w:r>
      <w:r>
        <w:t xml:space="preserve">is also generally hidden </w:t>
      </w:r>
      <w:r w:rsidR="00773DC0">
        <w:t xml:space="preserve">from view </w:t>
      </w:r>
      <w:r>
        <w:t>in financial statements.  For example, it is usually impossible for outside users of the statements to assess whether or how a company exercised its preferences when capitalising (or not) development costs. One exception to this is the depreciation method, which is often disclosed. IASs 16, 38 and 41 make it clear</w:t>
      </w:r>
      <w:r>
        <w:rPr>
          <w:rStyle w:val="FootnoteReference"/>
        </w:rPr>
        <w:footnoteReference w:id="27"/>
      </w:r>
      <w:r w:rsidR="007F681E">
        <w:t xml:space="preserve"> that selecting the depreciation </w:t>
      </w:r>
      <w:r>
        <w:t xml:space="preserve">method is not a </w:t>
      </w:r>
      <w:r w:rsidR="007F681E">
        <w:t>policy choice, because it should rely</w:t>
      </w:r>
      <w:r>
        <w:t xml:space="preserve"> on estimating the pattern of consumption of the asset’s benefits.</w:t>
      </w:r>
    </w:p>
    <w:p w14:paraId="6B7B70EF" w14:textId="77777777" w:rsidR="00D2643B" w:rsidRDefault="00D2643B" w:rsidP="0017315A">
      <w:pPr>
        <w:spacing w:after="60" w:line="480" w:lineRule="auto"/>
      </w:pPr>
      <w:r>
        <w:tab/>
        <w:t xml:space="preserve">Just as the list of overt options has changed over time, so has the list of covert options.  For example, until the 2003 version of IAS 1, entities were required to present </w:t>
      </w:r>
      <w:r>
        <w:lastRenderedPageBreak/>
        <w:t>any ‘extraordinary items’ in their income statements, and the determination of whether an item was extraordinary involved judgement.  Given that it is much more difficult to research covert options, the treatment of them here is not as detailed as for overt options.</w:t>
      </w:r>
    </w:p>
    <w:p w14:paraId="79A878EE" w14:textId="77777777" w:rsidR="00D2643B" w:rsidRPr="00EC7199" w:rsidRDefault="00D2643B" w:rsidP="0017315A">
      <w:pPr>
        <w:spacing w:after="60" w:line="480" w:lineRule="auto"/>
        <w:rPr>
          <w:i/>
        </w:rPr>
      </w:pPr>
      <w:r>
        <w:rPr>
          <w:i/>
        </w:rPr>
        <w:t>4.5 Scope for c</w:t>
      </w:r>
      <w:r w:rsidRPr="00EC7199">
        <w:rPr>
          <w:i/>
        </w:rPr>
        <w:t>o</w:t>
      </w:r>
      <w:r>
        <w:rPr>
          <w:i/>
        </w:rPr>
        <w:t>untry differences</w:t>
      </w:r>
    </w:p>
    <w:p w14:paraId="4F344942" w14:textId="77777777" w:rsidR="00D2643B" w:rsidRDefault="00D2643B" w:rsidP="0017315A">
      <w:pPr>
        <w:spacing w:after="60" w:line="480" w:lineRule="auto"/>
      </w:pPr>
      <w:r>
        <w:tab/>
        <w:t>The scope for variation in IFRS practices, as examined in this section, could undermine comparability. This would be the case even if the scope were exercised randomly by companies, but it was suggested (e.g. Ball, 2006; Nobes, 2006) that there will be systematic country-based differences in practice.  These might be influenced by the same forces which drove national GAAPs to be different in the first place, such as different tax systems and different prime purposes of accounting, linked to different owners and financiers of companies. The influence can be indirect. For example, tax considerations could influence a company’s accounting policies (e.g. choosing weighted average inventory costing) or estimations (e.g. maximising the size of impairments or provisions) in unconsolidated statements under a national GAAP; and these might flow through to IFRS consolidated statements. Even if such forces are no longer relevant, companies might prefer to continue with previous practices for administrative ease or to provide continuity for users.</w:t>
      </w:r>
    </w:p>
    <w:p w14:paraId="23EB3A20" w14:textId="77777777" w:rsidR="00D2643B" w:rsidRDefault="00D2643B" w:rsidP="007D5ADF">
      <w:pPr>
        <w:spacing w:after="60" w:line="480" w:lineRule="auto"/>
        <w:ind w:firstLine="360"/>
        <w:rPr>
          <w:b/>
        </w:rPr>
      </w:pPr>
      <w:r>
        <w:rPr>
          <w:b/>
        </w:rPr>
        <w:t>5.</w:t>
      </w:r>
      <w:r>
        <w:rPr>
          <w:b/>
        </w:rPr>
        <w:tab/>
        <w:t>Empirical studies of variations in IFRS practice</w:t>
      </w:r>
    </w:p>
    <w:p w14:paraId="1221AC9A" w14:textId="77777777" w:rsidR="00D2643B" w:rsidRDefault="00D2643B" w:rsidP="003F4D94">
      <w:pPr>
        <w:spacing w:after="60" w:line="480" w:lineRule="auto"/>
        <w:rPr>
          <w:i/>
        </w:rPr>
      </w:pPr>
      <w:r w:rsidRPr="00370D9B">
        <w:rPr>
          <w:i/>
        </w:rPr>
        <w:t xml:space="preserve">5.1 </w:t>
      </w:r>
      <w:r>
        <w:rPr>
          <w:i/>
        </w:rPr>
        <w:t xml:space="preserve"> </w:t>
      </w:r>
      <w:r w:rsidRPr="00370D9B">
        <w:rPr>
          <w:i/>
        </w:rPr>
        <w:t>Introduction</w:t>
      </w:r>
    </w:p>
    <w:p w14:paraId="30E754A8" w14:textId="77777777" w:rsidR="00D2643B" w:rsidRPr="00BD6B5C" w:rsidRDefault="00D2643B" w:rsidP="00032098">
      <w:pPr>
        <w:spacing w:after="60" w:line="480" w:lineRule="auto"/>
      </w:pPr>
      <w:r>
        <w:tab/>
        <w:t xml:space="preserve">There have been several studies which collect data on IFRS practices, mostly relating to 2005 financial statements or later.  Some of these studies record the overt IFRS options chosen by companies on some topics (e.g. KPMG and von Keitz, 2006; ICAEW, 2007; European Commission, 2008).  Those studies mix large and small companies, and have small samples per country.  They generally do not report data by country.  However, several empirical studies have systematically collected data for a formal sample of </w:t>
      </w:r>
      <w:r>
        <w:lastRenderedPageBreak/>
        <w:t>companies on a country-by-country basis, using lists of overt options for which company choice is easily observable, similar to that in Table 4.  These studies are now discussed in the next five sub-sections, followed by a sub-section containing new analogous data on Canada.</w:t>
      </w:r>
    </w:p>
    <w:p w14:paraId="35A77A2A" w14:textId="77777777" w:rsidR="00D2643B" w:rsidRPr="00370D9B" w:rsidRDefault="00D2643B" w:rsidP="00085230">
      <w:pPr>
        <w:spacing w:after="60" w:line="480" w:lineRule="auto"/>
        <w:rPr>
          <w:i/>
        </w:rPr>
      </w:pPr>
      <w:r>
        <w:rPr>
          <w:i/>
        </w:rPr>
        <w:t>5.2</w:t>
      </w:r>
      <w:r w:rsidRPr="00370D9B">
        <w:rPr>
          <w:i/>
        </w:rPr>
        <w:t xml:space="preserve"> </w:t>
      </w:r>
      <w:r>
        <w:rPr>
          <w:i/>
        </w:rPr>
        <w:t xml:space="preserve"> </w:t>
      </w:r>
      <w:r w:rsidRPr="00370D9B">
        <w:rPr>
          <w:i/>
        </w:rPr>
        <w:t>I</w:t>
      </w:r>
      <w:r>
        <w:rPr>
          <w:i/>
        </w:rPr>
        <w:t>FRS policy choices in 2005/6: national patterns</w:t>
      </w:r>
    </w:p>
    <w:p w14:paraId="75065B85" w14:textId="77777777" w:rsidR="00D2643B" w:rsidRDefault="00D2643B" w:rsidP="007D5ADF">
      <w:pPr>
        <w:spacing w:after="60" w:line="480" w:lineRule="auto"/>
      </w:pPr>
      <w:r>
        <w:tab/>
        <w:t>Kvaal and Nobes (2010, hereafter K&amp;N) examine the 2005/6 practices of 232 large listed companies from the five IFRS-using countries with the largest stock markets:  Australia, France, Germany, Spain and the UK.  As in all the papers discussed in this section, foreign companies</w:t>
      </w:r>
      <w:r>
        <w:rPr>
          <w:rStyle w:val="FootnoteReference"/>
        </w:rPr>
        <w:footnoteReference w:id="28"/>
      </w:r>
      <w:r>
        <w:t xml:space="preserve"> are excluded. For 16 overt IFRS options,</w:t>
      </w:r>
      <w:r>
        <w:rPr>
          <w:rStyle w:val="FootnoteReference"/>
        </w:rPr>
        <w:footnoteReference w:id="29"/>
      </w:r>
      <w:r>
        <w:t xml:space="preserve"> K&amp;N’s general hypothesis (based on the reasoning outlined in Sub-section 4.5) is not exactly that country will determine policy but that any particular company will continue to follow its own individual pre-IFRS national practice on each particular optional topic.  This motivated K&amp;N to collect data on the pre-IFRS policies of their companies for the topics without pre-IFRS national requirements.</w:t>
      </w:r>
    </w:p>
    <w:p w14:paraId="0FF1FB59" w14:textId="77777777" w:rsidR="00D2643B" w:rsidRDefault="00D2643B" w:rsidP="007D5ADF">
      <w:pPr>
        <w:spacing w:after="60" w:line="480" w:lineRule="auto"/>
      </w:pPr>
      <w:r>
        <w:tab/>
        <w:t>K&amp;N then hand-picked the data on the IFRS policy choices made by their companies.  K&amp;N find very strong statistical evidence that these choices follow pre-IFRS practices and therefore that there are national patterns of IFRS practice, which undermine comparability.  K&amp;N note that some of their 16 topics are of little importance in this context but that they all bolster the findings on the importance of nationality in explaining policy choice.  This increases the probability that there are national differences in other important areas which cannot be easily observed, such as the covert options related to impairment or to the capitalisation of development costs (see Table 5).</w:t>
      </w:r>
    </w:p>
    <w:p w14:paraId="51444CE3" w14:textId="77777777" w:rsidR="001F4CAA" w:rsidRDefault="00D2643B" w:rsidP="007D5ADF">
      <w:pPr>
        <w:spacing w:after="60" w:line="480" w:lineRule="auto"/>
      </w:pPr>
      <w:r>
        <w:lastRenderedPageBreak/>
        <w:tab/>
        <w:t>K&amp;N do not examine the potential importance of a company’s sector in explaining IFRS policy choice, although they exclude financial companies on topics for which a sector-specific choice is likely.  Table 4 shows these topics with asterisks.  K&amp;N disclose the sectoral mix of their sample, which is approximately</w:t>
      </w:r>
      <w:r>
        <w:rPr>
          <w:rStyle w:val="FootnoteReference"/>
        </w:rPr>
        <w:footnoteReference w:id="30"/>
      </w:r>
      <w:r>
        <w:t xml:space="preserve"> as in Table 6 of this paper.  They note that (apart from financial companies) there is a broad sectoral spread for all their five countries.  Sector is discussed further below.</w:t>
      </w:r>
    </w:p>
    <w:p w14:paraId="44468C36" w14:textId="77777777" w:rsidR="00B82508" w:rsidRDefault="001F4CAA" w:rsidP="00B82508">
      <w:pPr>
        <w:spacing w:after="60" w:line="480" w:lineRule="auto"/>
        <w:jc w:val="center"/>
      </w:pPr>
      <w:r>
        <w:t>INSERT TABLE 6 HEREABOUTS</w:t>
      </w:r>
    </w:p>
    <w:p w14:paraId="617DD519" w14:textId="77777777" w:rsidR="00D2643B" w:rsidRDefault="00D2643B" w:rsidP="007D5ADF">
      <w:pPr>
        <w:spacing w:after="60" w:line="480" w:lineRule="auto"/>
      </w:pPr>
      <w:r>
        <w:tab/>
        <w:t>Studies of partic</w:t>
      </w:r>
      <w:r w:rsidR="002B1770">
        <w:t>ular IFRS policy areas also uncover</w:t>
      </w:r>
      <w:r>
        <w:t xml:space="preserve"> a national effect.  Morais (2008) and Fasshauer </w:t>
      </w:r>
      <w:r>
        <w:rPr>
          <w:i/>
          <w:iCs/>
        </w:rPr>
        <w:t>et al</w:t>
      </w:r>
      <w:r>
        <w:t xml:space="preserve">. (2008) look at the treatment of actuarial gains and losses (AGL) in the 2005 IFRS reports of European companies.  Both studies find an influence of nationality; for example, that UK and Irish companies use different methods from continental companies.  Cairns </w:t>
      </w:r>
      <w:r w:rsidRPr="006C0CF4">
        <w:rPr>
          <w:i/>
        </w:rPr>
        <w:t>et al.</w:t>
      </w:r>
      <w:r>
        <w:t xml:space="preserve"> (2011) focus on the use of fair value (including options to use it) in Australia and the UK around the time of transition to IFRS. They did not find great difference between the two countries, and this is not surprising given the similarities of background. Verriest </w:t>
      </w:r>
      <w:r>
        <w:rPr>
          <w:i/>
          <w:iCs/>
        </w:rPr>
        <w:t>et al</w:t>
      </w:r>
      <w:r>
        <w:t>. (2012) examine first-time adoption of IFRS, and discover national variations, possibly due to varying quality of corporate governance.</w:t>
      </w:r>
    </w:p>
    <w:p w14:paraId="336505FC" w14:textId="77777777" w:rsidR="00D2643B" w:rsidRPr="00085230" w:rsidRDefault="00D2643B" w:rsidP="00085230">
      <w:pPr>
        <w:spacing w:after="60" w:line="480" w:lineRule="auto"/>
        <w:rPr>
          <w:i/>
        </w:rPr>
      </w:pPr>
      <w:r>
        <w:rPr>
          <w:i/>
        </w:rPr>
        <w:t>5.3</w:t>
      </w:r>
      <w:r w:rsidRPr="00370D9B">
        <w:rPr>
          <w:i/>
        </w:rPr>
        <w:t xml:space="preserve"> </w:t>
      </w:r>
      <w:r>
        <w:rPr>
          <w:i/>
        </w:rPr>
        <w:t xml:space="preserve"> </w:t>
      </w:r>
      <w:r w:rsidRPr="00370D9B">
        <w:rPr>
          <w:i/>
        </w:rPr>
        <w:t>I</w:t>
      </w:r>
      <w:r>
        <w:rPr>
          <w:i/>
        </w:rPr>
        <w:t>FRS policy changes from 2005/6 to 2008/9</w:t>
      </w:r>
    </w:p>
    <w:p w14:paraId="45A36F96" w14:textId="77777777" w:rsidR="00D2643B" w:rsidRDefault="00D2643B" w:rsidP="007D5ADF">
      <w:pPr>
        <w:spacing w:after="60" w:line="480" w:lineRule="auto"/>
      </w:pPr>
      <w:r>
        <w:tab/>
        <w:t>For most of the 232 companies in K&amp;N’s sample, the financial statements examined were the first prepared under IFRS.  This raises the question whether the influence of pre-IFRS practices (and the resulting pat</w:t>
      </w:r>
      <w:r w:rsidR="002B1770">
        <w:t>terns of national IFRS practice</w:t>
      </w:r>
      <w:r>
        <w:t xml:space="preserve">) was mostly a feature of transition to IFRS and might therefore dissipate over time.  In order to investigate that, Kvaal and Nobes (2012) examine the IFRS policy choices of the same companies as in K&amp;N but three years later.  They expect the influence of pre-IFRS </w:t>
      </w:r>
      <w:r>
        <w:lastRenderedPageBreak/>
        <w:t>policies (and therefore nationality) to continue, not least because IAS 8 discourages</w:t>
      </w:r>
      <w:r>
        <w:rPr>
          <w:rStyle w:val="FootnoteReference"/>
        </w:rPr>
        <w:footnoteReference w:id="31"/>
      </w:r>
      <w:r>
        <w:t xml:space="preserve"> policy change.</w:t>
      </w:r>
    </w:p>
    <w:p w14:paraId="29FC9B92" w14:textId="77777777" w:rsidR="00D2643B" w:rsidRDefault="00D2643B" w:rsidP="007D5ADF">
      <w:pPr>
        <w:spacing w:after="60" w:line="480" w:lineRule="auto"/>
      </w:pPr>
      <w:r>
        <w:tab/>
        <w:t>Kva</w:t>
      </w:r>
      <w:r w:rsidR="002B1770">
        <w:t xml:space="preserve">al and Nobes (2012) examine </w:t>
      </w:r>
      <w:r>
        <w:t xml:space="preserve">the </w:t>
      </w:r>
      <w:r w:rsidR="002B1770">
        <w:t xml:space="preserve">126 </w:t>
      </w:r>
      <w:r>
        <w:t>policy changes over their three-year period.  They discover little change among Australian and UK companies but significantly greater change by French and Spanish companies.  Remarkably, the French and Spanish companies changed their policies more after transition (despite the constraints of IAS 8) than they had done at transition (when IFRS 1 imposes no constraints).  For Australian and UK companies, the reverse was the case.</w:t>
      </w:r>
    </w:p>
    <w:p w14:paraId="5AE8EDDB" w14:textId="77777777" w:rsidR="002B1770" w:rsidRDefault="00D2643B" w:rsidP="007D5ADF">
      <w:pPr>
        <w:spacing w:after="60" w:line="480" w:lineRule="auto"/>
      </w:pPr>
      <w:r>
        <w:tab/>
        <w:t xml:space="preserve">Kvaal and Nobes (2012) ask what might explain this.  They suggest that French and Spanish companies had been the furthest away from the culture, ethos and requirements of the IASB, so were least aware of the possibilities for change at transition.  Kvaal and Nobes test this by recording, for each post-transition policy change, whether the change was towards or away from the pre-IFRS requirement under national GAAP.  They find that most of the few Australian and UK changes were towards the pre-IFRS national requirement, suggesting that the companies were not learning from foreign companies, but were perhaps interested in comparability among their national peers.  However, the many French and Spanish post-transition changes were mostly away from the pre-IFRS national norms, suggesting some learning, perhaps from the practices of companies listed on the </w:t>
      </w:r>
      <w:r w:rsidR="00BD677D">
        <w:t>London stock exchange as the largest in the world to be based on reporting under IFRS.</w:t>
      </w:r>
      <w:r>
        <w:t xml:space="preserve">  </w:t>
      </w:r>
    </w:p>
    <w:p w14:paraId="34F9BEC7" w14:textId="77777777" w:rsidR="00D2643B" w:rsidRDefault="002B1770" w:rsidP="007D5ADF">
      <w:pPr>
        <w:spacing w:after="60" w:line="480" w:lineRule="auto"/>
      </w:pPr>
      <w:r>
        <w:tab/>
      </w:r>
      <w:r w:rsidR="00D2643B">
        <w:t xml:space="preserve">As part of this exercise, Kvaal and Nobes checked whether any amendments or proposed amendments to standards could explain the policy changes.  There were no relevant amendments to IFRS requirements in the period and, on average, companies took </w:t>
      </w:r>
      <w:r w:rsidR="00D2643B">
        <w:lastRenderedPageBreak/>
        <w:t xml:space="preserve">no policy action in response to amendments </w:t>
      </w:r>
      <w:r w:rsidR="00D2643B" w:rsidRPr="00C66E10">
        <w:rPr>
          <w:i/>
        </w:rPr>
        <w:t>proposed</w:t>
      </w:r>
      <w:r w:rsidR="00D2643B">
        <w:t xml:space="preserve"> by the IASB. For example, there was no net movement away from the proportional consolidation of joint ventures after the IASB announced plans to abolish the method; and there was no increase in the move towards taking actuarial gains and losses to other comprehensive income (OCI) after the IASB announced plans to require this.</w:t>
      </w:r>
    </w:p>
    <w:p w14:paraId="6C18B86C" w14:textId="77777777" w:rsidR="00D2643B" w:rsidRDefault="00D2643B" w:rsidP="007D5ADF">
      <w:pPr>
        <w:spacing w:after="60" w:line="480" w:lineRule="auto"/>
      </w:pPr>
      <w:r>
        <w:tab/>
        <w:t>Haller and Wehrfritz (2012) also use Nobes (2006) as a starting point. They examine the IFRS policy changes of German and UK companies from 2005 to 2009. Like Kvaal and Nobes (2012), they find few policy changes among companies of those countries.</w:t>
      </w:r>
    </w:p>
    <w:p w14:paraId="0B68092A" w14:textId="77777777" w:rsidR="00D2643B" w:rsidRPr="003F4D94" w:rsidRDefault="00D2643B" w:rsidP="00085230">
      <w:pPr>
        <w:spacing w:after="60" w:line="480" w:lineRule="auto"/>
      </w:pPr>
      <w:r>
        <w:tab/>
        <w:t xml:space="preserve">Australia presents a special case because the initial Australian implementation of IFRS had deleted certain non-Australian options, such as the indirect method of calculating operating cash flows (topic 6 in Table 4).  However, for 2007 onwards, the options were reinserted.  Bond </w:t>
      </w:r>
      <w:r>
        <w:rPr>
          <w:i/>
        </w:rPr>
        <w:t>et al</w:t>
      </w:r>
      <w:r>
        <w:t>. (2012) find that less than 1% of all Australian listed companies had changed from the direct to the indirect method by 2009.  This confirms the strong influence of pre-IFRS practices.</w:t>
      </w:r>
    </w:p>
    <w:p w14:paraId="31344289" w14:textId="77777777" w:rsidR="00D2643B" w:rsidRPr="00085230" w:rsidRDefault="00D2643B" w:rsidP="00085230">
      <w:pPr>
        <w:spacing w:after="60" w:line="480" w:lineRule="auto"/>
        <w:rPr>
          <w:i/>
        </w:rPr>
      </w:pPr>
      <w:r>
        <w:rPr>
          <w:i/>
        </w:rPr>
        <w:t xml:space="preserve">5.4  Country, sector, firm and topic influences on </w:t>
      </w:r>
      <w:r w:rsidRPr="00370D9B">
        <w:rPr>
          <w:i/>
        </w:rPr>
        <w:t>I</w:t>
      </w:r>
      <w:r>
        <w:rPr>
          <w:i/>
        </w:rPr>
        <w:t>FRS policies</w:t>
      </w:r>
    </w:p>
    <w:p w14:paraId="3CE9570A" w14:textId="77777777" w:rsidR="00D2643B" w:rsidRDefault="00D2643B" w:rsidP="007D5ADF">
      <w:pPr>
        <w:spacing w:after="60" w:line="480" w:lineRule="auto"/>
      </w:pPr>
      <w:r>
        <w:tab/>
        <w:t xml:space="preserve">As mentioned in Section 4, Jaafar and McLeay (2007) investigated whether sector-specific policy choices lay behind some of the international differences.  They found only a small effect of sector compared to that of nationality.  However, they studied pre-IFRS practices, which means that some (perhaps most) of the effect of nationality was caused by international differences in requirements rather than in policy choice.  Cole </w:t>
      </w:r>
      <w:r w:rsidRPr="009D2C71">
        <w:rPr>
          <w:i/>
        </w:rPr>
        <w:t>et al.</w:t>
      </w:r>
      <w:r>
        <w:t xml:space="preserve"> (2011) and Nobes and Stadler (2012) study the influence of various factors in the context of IFRS. </w:t>
      </w:r>
    </w:p>
    <w:p w14:paraId="5EBCE93B" w14:textId="77777777" w:rsidR="00D2643B" w:rsidRDefault="00D2643B" w:rsidP="007D5ADF">
      <w:pPr>
        <w:spacing w:after="60" w:line="480" w:lineRule="auto"/>
      </w:pPr>
      <w:r>
        <w:tab/>
        <w:t xml:space="preserve">Cole </w:t>
      </w:r>
      <w:r w:rsidRPr="009D2C71">
        <w:rPr>
          <w:i/>
        </w:rPr>
        <w:t>et al.</w:t>
      </w:r>
      <w:r>
        <w:t xml:space="preserve"> (2011) look at 34 IFRS options (expanded from the list in Nobes, 2006) relating to 79 companies in four EU countries. They find that country is the most </w:t>
      </w:r>
      <w:r>
        <w:lastRenderedPageBreak/>
        <w:t>important determinant of policy choice, but that auditor helps to explain formats and disclosures.</w:t>
      </w:r>
    </w:p>
    <w:p w14:paraId="104C6B08" w14:textId="77777777" w:rsidR="00D2643B" w:rsidRDefault="00D2643B" w:rsidP="007D5ADF">
      <w:pPr>
        <w:spacing w:after="60" w:line="480" w:lineRule="auto"/>
      </w:pPr>
      <w:r>
        <w:tab/>
        <w:t>Nobes and Stadler (2012) note that, despite the strong association of policy choice and country, the IFRS practices within a country are not uniform. They, therefore, investigate the degree to which IFRS policy choices are driven by sector, firm or policy-specific factors, as well as by</w:t>
      </w:r>
      <w:r w:rsidRPr="009F3F8D">
        <w:t xml:space="preserve"> </w:t>
      </w:r>
      <w:r>
        <w:t xml:space="preserve">country.  They use the 2008/9 data relating to non-financial companies as collected by Kvaal and Nobes (2012).  Their firm-specific factors include size and leverage.  The policy-specific factors relate to the effects on accounting numbers of the policy choice; for example, if a company already has high gearing, it might be disinclined to choose proportional consolidation of joint ventures, which would increase gearing.  </w:t>
      </w:r>
    </w:p>
    <w:p w14:paraId="5EB2C947" w14:textId="77777777" w:rsidR="00D2643B" w:rsidRDefault="00D2643B" w:rsidP="00AF569C">
      <w:pPr>
        <w:spacing w:after="60" w:line="480" w:lineRule="auto"/>
        <w:ind w:firstLine="720"/>
      </w:pPr>
      <w:r>
        <w:t>Nobes and Stadler find that the very strong association of policy choice and country (found by K&amp;N) largely survives the inclusion of variables for sector, firm and policy.  However, these other factors have some association with certain choices</w:t>
      </w:r>
      <w:r w:rsidR="00B74BBA">
        <w:t>.  In particular, the ‘basic’</w:t>
      </w:r>
      <w:r>
        <w:t xml:space="preserve"> industry </w:t>
      </w:r>
      <w:r w:rsidR="00B74BBA">
        <w:t xml:space="preserve">(mostly extractive companies) </w:t>
      </w:r>
      <w:r>
        <w:t>has idiosyncratic policies, so it should be treated separately for some purposes, as the financial sector already was. They also find that a firm’s willingness to depart from the national norm of IFRS practices is related to size and, for non-UK companies with a UK listing, with the practices of companies listed on the London Stock Exchange.</w:t>
      </w:r>
    </w:p>
    <w:p w14:paraId="0BE08B8D" w14:textId="77777777" w:rsidR="00D2643B" w:rsidRPr="00085230" w:rsidRDefault="00D2643B" w:rsidP="00085230">
      <w:pPr>
        <w:spacing w:after="60" w:line="480" w:lineRule="auto"/>
        <w:rPr>
          <w:i/>
        </w:rPr>
      </w:pPr>
      <w:r>
        <w:rPr>
          <w:i/>
        </w:rPr>
        <w:t>5.5  Do smaller firms choose different policies?</w:t>
      </w:r>
    </w:p>
    <w:p w14:paraId="40566322" w14:textId="77777777" w:rsidR="00D2643B" w:rsidRDefault="00D2643B" w:rsidP="007D5ADF">
      <w:pPr>
        <w:spacing w:after="60" w:line="480" w:lineRule="auto"/>
      </w:pPr>
      <w:r>
        <w:tab/>
        <w:t>K&amp;N had suggested that the study of the very largest listed companies meant that their findings were robust.  That is, K&amp;N expected that smaller firms would be less interested in international comparability and would therefore exhibit even clearer country-related patterns of</w:t>
      </w:r>
      <w:r w:rsidR="00B74BBA">
        <w:t xml:space="preserve"> policy choice.  Indeed</w:t>
      </w:r>
      <w:r>
        <w:t xml:space="preserve">, some of the IFRS choices made by the large companies seemed out-of-line with pre-IFRS national traditions.  For example, the </w:t>
      </w:r>
      <w:r w:rsidR="00B74BBA">
        <w:t xml:space="preserve">large </w:t>
      </w:r>
      <w:r>
        <w:lastRenderedPageBreak/>
        <w:t>German companies mostly chose by-function income statements, presumably to be in line with the majority practice on the New York and London exchanges, whereas the by-nature format had been traditional German practice and, until 1987,</w:t>
      </w:r>
      <w:r w:rsidRPr="00AF569C">
        <w:t xml:space="preserve"> </w:t>
      </w:r>
      <w:r>
        <w:t>the legal requirement.</w:t>
      </w:r>
      <w:r>
        <w:rPr>
          <w:rStyle w:val="FootnoteReference"/>
        </w:rPr>
        <w:footnoteReference w:id="32"/>
      </w:r>
    </w:p>
    <w:p w14:paraId="4D25F10F" w14:textId="77777777" w:rsidR="00D2643B" w:rsidRDefault="0090443E" w:rsidP="007D5ADF">
      <w:pPr>
        <w:spacing w:after="60" w:line="480" w:lineRule="auto"/>
      </w:pPr>
      <w:r>
        <w:tab/>
        <w:t>Nobes and Perramon (2013</w:t>
      </w:r>
      <w:r w:rsidR="00D2643B">
        <w:t>) investigate this issue.  They take the 2008/9 data of Kvaal and Nobes (2012) as it relates to non-financial companies.  Then they hand-pick data on the IFRS policy choices made in 2008/9 by a sample of the smallest listed companies of the same five countries.  They find, for 12 of their 15 topics,</w:t>
      </w:r>
      <w:r w:rsidR="00D2643B">
        <w:rPr>
          <w:rStyle w:val="FootnoteReference"/>
        </w:rPr>
        <w:footnoteReference w:id="33"/>
      </w:r>
      <w:r w:rsidR="00D2643B">
        <w:t xml:space="preserve"> that the policy choices are significantly different between the small and large companies for at least some countries.  This includes the German choices related to the income statement, noted above, in that the small German companies mostly chose the traditional by-nature format.</w:t>
      </w:r>
    </w:p>
    <w:p w14:paraId="439DA0E5" w14:textId="77777777" w:rsidR="00D2643B" w:rsidRPr="005E69FF" w:rsidRDefault="00D2643B" w:rsidP="00664974">
      <w:r>
        <w:rPr>
          <w:i/>
        </w:rPr>
        <w:t>5.6  Classification of countries based on IFRS practices</w:t>
      </w:r>
    </w:p>
    <w:p w14:paraId="11323FDF" w14:textId="77777777" w:rsidR="00D2643B" w:rsidRDefault="00D2643B" w:rsidP="00B74BBA">
      <w:pPr>
        <w:spacing w:after="60" w:line="480" w:lineRule="auto"/>
      </w:pPr>
      <w:r>
        <w:tab/>
        <w:t xml:space="preserve">Another major theme in the international accounting literature is closely related to the above discussions: classification of accounting systems.  Attempts at classification go back more than a century, to Hatfield (1911).  This and the other early classifications (i.e. Seidler, 1967; AAA, 1977; da Costa </w:t>
      </w:r>
      <w:r>
        <w:rPr>
          <w:i/>
        </w:rPr>
        <w:t>et al</w:t>
      </w:r>
      <w:r>
        <w:t>., 1978; Frank, 1979; Nair and Frank, 1980) had three or four groups, and all put the UK and the US in different groups. However, all the writers and all the data</w:t>
      </w:r>
      <w:r>
        <w:rPr>
          <w:rStyle w:val="FootnoteReference"/>
        </w:rPr>
        <w:footnoteReference w:id="34"/>
      </w:r>
      <w:r>
        <w:t xml:space="preserve"> were based in North America. They were more likely to be informed about UK/US than the details of the accounting of any other countries.</w:t>
      </w:r>
    </w:p>
    <w:p w14:paraId="4FC8F6D9" w14:textId="77777777" w:rsidR="00D2643B" w:rsidRDefault="00B74BBA" w:rsidP="00796E3F">
      <w:pPr>
        <w:spacing w:after="60" w:line="480" w:lineRule="auto"/>
      </w:pPr>
      <w:r>
        <w:lastRenderedPageBreak/>
        <w:tab/>
        <w:t>By contrast</w:t>
      </w:r>
      <w:r w:rsidR="00D2643B">
        <w:t xml:space="preserve">, Mueller (1967), whose </w:t>
      </w:r>
      <w:r>
        <w:t>origins were German</w:t>
      </w:r>
      <w:r w:rsidR="00D2643B">
        <w:t>, put the US and the UK together in one class, with the other three classes each typified by different continental European countries.  Nobes (1983) followed Mueller’s lead, but added more countries (14 rather than Mueller’s examples of five countries) and created a hierarchical classification (see Figure 1), which was then tested with somewhat informal data</w:t>
      </w:r>
      <w:r w:rsidR="00D2643B">
        <w:rPr>
          <w:rStyle w:val="FootnoteReference"/>
        </w:rPr>
        <w:footnoteReference w:id="35"/>
      </w:r>
      <w:r w:rsidR="00D2643B">
        <w:t xml:space="preserve"> based on proposed key topics in accounting practice.  Doupnik and Salter (1993) confirmed it with more extensive data.</w:t>
      </w:r>
    </w:p>
    <w:p w14:paraId="6BB2BC72" w14:textId="77777777" w:rsidR="00B82508" w:rsidRDefault="006A2A76" w:rsidP="00B82508">
      <w:pPr>
        <w:spacing w:after="60" w:line="480" w:lineRule="auto"/>
        <w:jc w:val="center"/>
      </w:pPr>
      <w:r>
        <w:t>INSERT FIGURE 1 HEREABOUTS</w:t>
      </w:r>
    </w:p>
    <w:p w14:paraId="42F4448B" w14:textId="77777777" w:rsidR="00D2643B" w:rsidRDefault="00D2643B" w:rsidP="00796E3F">
      <w:pPr>
        <w:spacing w:after="60" w:line="480" w:lineRule="auto"/>
      </w:pPr>
      <w:r>
        <w:tab/>
        <w:t>This idea is also overwhelmingly backed up by common sense concerning the US and the UK (in contrast to France or Germany, for example): shared language and legal system; old and powerful accountancy professions; private-sector standard setters; strong equity markets; and major disconnections between tax and financial reporting.  Despite this, many writers have continued to deny the existence of Anglo-American or Anglo-Saxon accounting (Shoenthal, 1989; Cairns, 1997; Alexander and Archer, 2000; d’Arcy, 2001).</w:t>
      </w:r>
      <w:r w:rsidR="00B74BBA">
        <w:t xml:space="preserve">  The first and the third of tho</w:t>
      </w:r>
      <w:r>
        <w:t>se papers consider the US and the UK only, note that they have differences, and conclude that they cannot be classified together. This is an extreme version of the start-with-the-US-and-UK method discussed above.</w:t>
      </w:r>
      <w:r w:rsidRPr="001E5B50">
        <w:t xml:space="preserve"> </w:t>
      </w:r>
      <w:r>
        <w:t>Nobes (1992, 1998, 2003 and 2004) disagrees with all these denials.</w:t>
      </w:r>
    </w:p>
    <w:p w14:paraId="2FF66E53" w14:textId="77777777" w:rsidR="00D2643B" w:rsidRDefault="00D2643B" w:rsidP="00796E3F">
      <w:pPr>
        <w:spacing w:after="60" w:line="480" w:lineRule="auto"/>
      </w:pPr>
      <w:r>
        <w:tab/>
        <w:t>If the thesis of this present paper is accepted</w:t>
      </w:r>
      <w:r w:rsidR="00E227F2">
        <w:t xml:space="preserve"> </w:t>
      </w:r>
      <w:r w:rsidR="00E227F2">
        <w:tab/>
        <w:t>(namely</w:t>
      </w:r>
      <w:r>
        <w:t xml:space="preserve"> that international differences continue to survive even inside IFRS practice</w:t>
      </w:r>
      <w:r w:rsidR="00E227F2">
        <w:t>)</w:t>
      </w:r>
      <w:r>
        <w:t xml:space="preserve"> then classification of countries by their IFRS policy choices might reveal groupings, perhaps even groupings similar to those proposed 30 years earlier in Figure 1</w:t>
      </w:r>
      <w:r w:rsidRPr="00577980">
        <w:t xml:space="preserve"> </w:t>
      </w:r>
      <w:r>
        <w:t xml:space="preserve">for pre-IFRS practices. In order to examine this, Nobes (2011) uses the 2008/9 data of Kvaal and Nobes (2012) on five countries and then </w:t>
      </w:r>
      <w:r>
        <w:lastRenderedPageBreak/>
        <w:t>adds data for the same period on the same IFRS policy choices of the largest listed companies of Italy, the Netherlands and Sweden.  This set of eight countries comprises all the major</w:t>
      </w:r>
      <w:r>
        <w:rPr>
          <w:rStyle w:val="FootnoteReference"/>
        </w:rPr>
        <w:footnoteReference w:id="36"/>
      </w:r>
      <w:r>
        <w:t xml:space="preserve"> countries which had been included in Figure 1 and which require</w:t>
      </w:r>
      <w:r w:rsidR="00B74BBA">
        <w:t>d</w:t>
      </w:r>
      <w:r>
        <w:t xml:space="preserve"> IFRS for the consolidated statements of listed companies in 2008/9.</w:t>
      </w:r>
    </w:p>
    <w:p w14:paraId="1BF33A39" w14:textId="77777777" w:rsidR="001F4CAA" w:rsidRDefault="00D2643B" w:rsidP="00577980">
      <w:pPr>
        <w:spacing w:after="60" w:line="480" w:lineRule="auto"/>
        <w:ind w:firstLine="720"/>
      </w:pPr>
      <w:r>
        <w:t>Table 6 shows the sample used</w:t>
      </w:r>
      <w:r w:rsidRPr="00947843">
        <w:t xml:space="preserve"> </w:t>
      </w:r>
      <w:r>
        <w:t>for the eight</w:t>
      </w:r>
      <w:r w:rsidRPr="00947843">
        <w:t xml:space="preserve"> </w:t>
      </w:r>
      <w:r>
        <w:t xml:space="preserve">countries (plus Canada, which is discussed later).  Table 7 shows the data on the 14 IFRS policy topics of Table 4. </w:t>
      </w:r>
    </w:p>
    <w:p w14:paraId="5D0D6EE7" w14:textId="77777777" w:rsidR="00B82508" w:rsidRDefault="001F4CAA" w:rsidP="00B82508">
      <w:pPr>
        <w:spacing w:after="60" w:line="480" w:lineRule="auto"/>
        <w:ind w:firstLine="720"/>
        <w:jc w:val="center"/>
      </w:pPr>
      <w:r>
        <w:t>INSERT TABLE 7 HEREABOUTS</w:t>
      </w:r>
    </w:p>
    <w:p w14:paraId="676477B8" w14:textId="77777777" w:rsidR="00D2643B" w:rsidRDefault="00D2643B" w:rsidP="00577980">
      <w:pPr>
        <w:spacing w:after="60" w:line="480" w:lineRule="auto"/>
        <w:ind w:firstLine="720"/>
      </w:pPr>
      <w:r>
        <w:t>For classification purposes, attention must be paid to which policy topics are included and how they are weighted, because the data on the various topics are added together.  This is not a problem for the main purpose of such papers as K&amp;N which seek to use as much evidence of policy differences as is observable.  However, for classification, Nobes (2011) excludes certain less important presentation differences,</w:t>
      </w:r>
      <w:r>
        <w:rPr>
          <w:rStyle w:val="FootnoteReference"/>
        </w:rPr>
        <w:footnoteReference w:id="37"/>
      </w:r>
      <w:r>
        <w:t xml:space="preserve"> although giving all the remaining 13 topics equal weight, as do all previous classification exercises.</w:t>
      </w:r>
    </w:p>
    <w:p w14:paraId="1451CBF3" w14:textId="77777777" w:rsidR="00D2643B" w:rsidRDefault="00D2643B" w:rsidP="00796E3F">
      <w:pPr>
        <w:spacing w:after="60" w:line="480" w:lineRule="auto"/>
      </w:pPr>
      <w:r>
        <w:tab/>
        <w:t xml:space="preserve">Three different statistical techniques of classification all show that Australia and the UK form one group, and the six continental European countries another.  Incidentally, Nobes (2011) points out something rather surprising: the paper’s classification of countries using data on IFRS policy choices is the first and only classification based on the observed </w:t>
      </w:r>
      <w:r>
        <w:rPr>
          <w:i/>
        </w:rPr>
        <w:t>practices</w:t>
      </w:r>
      <w:r>
        <w:t xml:space="preserve"> of companies, as opposed to being based on rules, opinions about practices or mixtures of the two, as found in the 11 previous accounting classifications referenced in the paper.</w:t>
      </w:r>
    </w:p>
    <w:p w14:paraId="2109F7A8" w14:textId="77777777" w:rsidR="00D2643B" w:rsidRPr="00085230" w:rsidRDefault="00D2643B" w:rsidP="00577980">
      <w:pPr>
        <w:spacing w:after="60" w:line="480" w:lineRule="auto"/>
        <w:rPr>
          <w:i/>
        </w:rPr>
      </w:pPr>
      <w:r>
        <w:rPr>
          <w:i/>
        </w:rPr>
        <w:t>5.7  New data on Canadian IFRS practices</w:t>
      </w:r>
    </w:p>
    <w:p w14:paraId="166E9B5C" w14:textId="77777777" w:rsidR="00D2643B" w:rsidRDefault="00D2643B" w:rsidP="00796E3F">
      <w:pPr>
        <w:spacing w:after="60" w:line="480" w:lineRule="auto"/>
      </w:pPr>
      <w:r>
        <w:lastRenderedPageBreak/>
        <w:tab/>
        <w:t>The above classification of countries based on IFRS choices excludes three countries with major capital markets which had been in Figure 1: Canada, Japan and the US.  In 2008/9, none used IFRS.  For research carried out on data available in 2012, this remains a reason for excluding Japan and the US, and for excluding other countries of Table 1 such as China, India and Russia.  H</w:t>
      </w:r>
      <w:r w:rsidR="00080CC8">
        <w:t xml:space="preserve">owever, </w:t>
      </w:r>
      <w:r>
        <w:t xml:space="preserve">data </w:t>
      </w:r>
      <w:r w:rsidR="0026272F">
        <w:t xml:space="preserve">have become </w:t>
      </w:r>
      <w:r>
        <w:t>available for Canada, as now explained.</w:t>
      </w:r>
    </w:p>
    <w:p w14:paraId="2C4ADC29" w14:textId="77777777" w:rsidR="00D2643B" w:rsidRDefault="00080CC8" w:rsidP="00796E3F">
      <w:pPr>
        <w:spacing w:after="60" w:line="480" w:lineRule="auto"/>
      </w:pPr>
      <w:r>
        <w:tab/>
        <w:t>IFRS was required</w:t>
      </w:r>
      <w:r w:rsidR="00D2643B">
        <w:t xml:space="preserve"> in Canada for</w:t>
      </w:r>
      <w:r>
        <w:t xml:space="preserve"> the majority of listed companies</w:t>
      </w:r>
      <w:r w:rsidR="00D2643B">
        <w:t xml:space="preserve"> </w:t>
      </w:r>
      <w:r>
        <w:t xml:space="preserve">for </w:t>
      </w:r>
      <w:r w:rsidR="00D2643B">
        <w:t xml:space="preserve">accounting periods beginning on or after 1 January 2011. Following the techniques of the papers discussed above, the IFRS policies of the companies in Canada’s TSX 60 index are now examined for </w:t>
      </w:r>
      <w:r w:rsidR="0026272F">
        <w:t xml:space="preserve">year ends of </w:t>
      </w:r>
      <w:r w:rsidR="00D2643B">
        <w:t xml:space="preserve">31 December 2011 </w:t>
      </w:r>
      <w:r w:rsidR="0026272F">
        <w:t>or nearest after</w:t>
      </w:r>
      <w:r>
        <w:t xml:space="preserve">. </w:t>
      </w:r>
      <w:r w:rsidR="00D2643B">
        <w:t>As Table</w:t>
      </w:r>
      <w:r>
        <w:t xml:space="preserve"> 6 shows, after eliminating exempted</w:t>
      </w:r>
      <w:r w:rsidR="00D2643B">
        <w:t xml:space="preserve"> companies and a few others which had non-December year-ends</w:t>
      </w:r>
      <w:r w:rsidR="00D2643B">
        <w:rPr>
          <w:rStyle w:val="FootnoteReference"/>
        </w:rPr>
        <w:t xml:space="preserve"> </w:t>
      </w:r>
      <w:r w:rsidR="00D2643B">
        <w:rPr>
          <w:rStyle w:val="FootnoteReference"/>
        </w:rPr>
        <w:footnoteReference w:id="38"/>
      </w:r>
      <w:r>
        <w:t xml:space="preserve"> from the TMX </w:t>
      </w:r>
      <w:r w:rsidR="00D2643B">
        <w:t xml:space="preserve">index, there is a sample of </w:t>
      </w:r>
      <w:r w:rsidR="0026272F">
        <w:t>45</w:t>
      </w:r>
      <w:r w:rsidR="00D2643B">
        <w:t xml:space="preserve"> companies.  As may be seen from Table 6 </w:t>
      </w:r>
      <w:r w:rsidR="0043189D">
        <w:t>(sectors 0 and 1), 53</w:t>
      </w:r>
      <w:r w:rsidR="00D2643B">
        <w:t xml:space="preserve">% of the sample are </w:t>
      </w:r>
      <w:r w:rsidR="0043189D">
        <w:t xml:space="preserve">basic or oil/gas </w:t>
      </w:r>
      <w:r w:rsidR="00D2643B">
        <w:t>companies</w:t>
      </w:r>
      <w:r w:rsidR="008C678E">
        <w:t xml:space="preserve"> (</w:t>
      </w:r>
      <w:r w:rsidR="0043189D">
        <w:t xml:space="preserve">all </w:t>
      </w:r>
      <w:r w:rsidR="00893377">
        <w:t>but two</w:t>
      </w:r>
      <w:r w:rsidR="008C678E">
        <w:t xml:space="preserve"> of them being </w:t>
      </w:r>
      <w:r w:rsidR="0043189D">
        <w:t>extractives)</w:t>
      </w:r>
      <w:r w:rsidR="00D2643B">
        <w:t>.</w:t>
      </w:r>
      <w:r w:rsidR="00D2643B">
        <w:rPr>
          <w:rStyle w:val="FootnoteReference"/>
        </w:rPr>
        <w:footnoteReference w:id="39"/>
      </w:r>
      <w:r w:rsidR="0043189D">
        <w:t xml:space="preserve"> </w:t>
      </w:r>
    </w:p>
    <w:p w14:paraId="4EECCC2A" w14:textId="77777777" w:rsidR="00893377" w:rsidRDefault="00D2643B" w:rsidP="00796E3F">
      <w:pPr>
        <w:spacing w:after="60" w:line="480" w:lineRule="auto"/>
      </w:pPr>
      <w:r>
        <w:tab/>
        <w:t xml:space="preserve">Table 7 shows the policy choices of the Canadian companies. Given the findings of Nobes and Stadler (2012) concerning the idiosyncratic policies of extractive companies, the data is segmented into three sets: extractive, financial and other.  Two IFRS policy issues (shown with asterisks) no longer involve choices for 2011, so are blank for Canada.  </w:t>
      </w:r>
    </w:p>
    <w:p w14:paraId="6D6134BB" w14:textId="77777777" w:rsidR="00D2643B" w:rsidRDefault="00893377" w:rsidP="00796E3F">
      <w:pPr>
        <w:spacing w:after="60" w:line="480" w:lineRule="auto"/>
      </w:pPr>
      <w:r>
        <w:tab/>
        <w:t>I</w:t>
      </w:r>
      <w:r w:rsidR="00D2643B">
        <w:t>nspection of the Canadian data reveals several interesting points which add to the evidence from other countries on the persistence of pre-IFRS policies.</w:t>
      </w:r>
      <w:r>
        <w:t xml:space="preserve"> </w:t>
      </w:r>
      <w:r w:rsidR="00D2643B">
        <w:t xml:space="preserve">Following the line of Mueller (1967) and Nobes (1983 and 2011), one might expect Canadian companies to make similar choices to those of Australian and UK companies.  Therefore, it is </w:t>
      </w:r>
      <w:r w:rsidR="00D2643B">
        <w:lastRenderedPageBreak/>
        <w:t>instructive to examine the topics of Table 7 for which this expectation is clearly refuted:  #1 on the structure of the balance sheet, and #14 on the treatment of joint venture entities.  Following the logic of K&amp;N, there is a simple explanation for the fact that the Canadian policies on these topics are so out-of-line with those of the Australian and UK companies: the Canadian companies are following pre-IFRS national practices.</w:t>
      </w:r>
      <w:r w:rsidR="00D2643B">
        <w:rPr>
          <w:rStyle w:val="FootnoteReference"/>
        </w:rPr>
        <w:footnoteReference w:id="40"/>
      </w:r>
    </w:p>
    <w:p w14:paraId="4530E318" w14:textId="77777777" w:rsidR="00D2643B" w:rsidRDefault="00D2643B" w:rsidP="00796E3F">
      <w:pPr>
        <w:spacing w:after="60" w:line="480" w:lineRule="auto"/>
      </w:pPr>
      <w:r>
        <w:tab/>
        <w:t>For topic 14, the Canadian choices are especially interesting because, before the end of 2011, the IASB had already</w:t>
      </w:r>
      <w:r>
        <w:rPr>
          <w:rStyle w:val="FootnoteReference"/>
        </w:rPr>
        <w:footnoteReference w:id="41"/>
      </w:r>
      <w:r>
        <w:t xml:space="preserve"> issued a standard outlawing the predominant Canadian choice, for 2013 onwards.  This is spectacular evidence of the influence of previous policies: the companies adopted the pre-IFRS policy on transition to IFRS even though it would very soon have to be abandoned.</w:t>
      </w:r>
    </w:p>
    <w:p w14:paraId="7F84DE9D" w14:textId="77777777" w:rsidR="00D2643B" w:rsidRDefault="00D2643B" w:rsidP="00A74E52">
      <w:pPr>
        <w:spacing w:after="60" w:line="480" w:lineRule="auto"/>
      </w:pPr>
      <w:r>
        <w:tab/>
        <w:t xml:space="preserve">For Topic 2, Australian and Canadian national balance sheet formats began with cash, whereas the British Companies Act format has cash as the last asset; and the IFRS policies follow those pre-IFRS practices closely. For Topic 6, UK and Canadian national rules allowed the indirect method, whereas the Australian did not.  </w:t>
      </w:r>
    </w:p>
    <w:p w14:paraId="275D3781" w14:textId="77777777" w:rsidR="006A2A76" w:rsidRDefault="00D2643B" w:rsidP="00E44320">
      <w:pPr>
        <w:spacing w:after="60" w:line="480" w:lineRule="auto"/>
      </w:pPr>
      <w:r>
        <w:tab/>
        <w:t>Preliminary evidence about the special accounting policies of the extractive industries</w:t>
      </w:r>
      <w:r>
        <w:rPr>
          <w:rStyle w:val="FootnoteReference"/>
        </w:rPr>
        <w:footnoteReference w:id="42"/>
      </w:r>
      <w:r>
        <w:t xml:space="preserve"> is shown in Table 8, which gives data on the topics which had the largest inter-sectoral variation.  </w:t>
      </w:r>
    </w:p>
    <w:p w14:paraId="3E271D1D" w14:textId="77777777" w:rsidR="00B82508" w:rsidRDefault="006A2A76" w:rsidP="00B82508">
      <w:pPr>
        <w:spacing w:after="60" w:line="480" w:lineRule="auto"/>
        <w:jc w:val="center"/>
      </w:pPr>
      <w:r>
        <w:t>INSERT TABLE 8 HEREABOUTS</w:t>
      </w:r>
    </w:p>
    <w:p w14:paraId="7D94C5C9" w14:textId="77777777" w:rsidR="00D2643B" w:rsidRDefault="00D2643B" w:rsidP="00E44320">
      <w:pPr>
        <w:spacing w:after="60" w:line="480" w:lineRule="auto"/>
      </w:pPr>
      <w:r>
        <w:t>Clearly, the averages shown in Table 7 hide important differences</w:t>
      </w:r>
      <w:r w:rsidR="007D1A7E">
        <w:t xml:space="preserve"> </w:t>
      </w:r>
      <w:r w:rsidR="00537448">
        <w:t xml:space="preserve">on some topics </w:t>
      </w:r>
      <w:r w:rsidR="007D1A7E">
        <w:t>between extractives, financials and others</w:t>
      </w:r>
      <w:r>
        <w:t>.  As noted earlier, extractive com</w:t>
      </w:r>
      <w:r w:rsidR="00675220">
        <w:t xml:space="preserve">panies comprise most </w:t>
      </w:r>
      <w:r>
        <w:t xml:space="preserve">of the Canadian sample.  This suggests that the Canadian averages should not be used for cross-country comparison, especially with the continental European </w:t>
      </w:r>
      <w:r>
        <w:lastRenderedPageBreak/>
        <w:t>countries which have few extractive companies (see Table 6). For statistical research, a control variable for the extractive sector should be included.</w:t>
      </w:r>
    </w:p>
    <w:p w14:paraId="4F74B192" w14:textId="77777777" w:rsidR="00D2643B" w:rsidRPr="007809AF" w:rsidRDefault="00D2643B" w:rsidP="00E44320">
      <w:pPr>
        <w:spacing w:after="60" w:line="480" w:lineRule="auto"/>
        <w:rPr>
          <w:i/>
        </w:rPr>
      </w:pPr>
      <w:r w:rsidRPr="007809AF">
        <w:rPr>
          <w:i/>
        </w:rPr>
        <w:t>5.8 Other findings</w:t>
      </w:r>
    </w:p>
    <w:p w14:paraId="4ACD0A20" w14:textId="77777777" w:rsidR="00D2643B" w:rsidRDefault="00D2643B" w:rsidP="00E44320">
      <w:pPr>
        <w:spacing w:after="60" w:line="480" w:lineRule="auto"/>
      </w:pPr>
      <w:r>
        <w:t>Work has al</w:t>
      </w:r>
      <w:r w:rsidR="00675220">
        <w:t>so begun in other areas which stem</w:t>
      </w:r>
      <w:r>
        <w:t xml:space="preserve"> from the lists of options and estimations in Nobes (2006). Wehrfritz </w:t>
      </w:r>
      <w:r w:rsidRPr="002F61F1">
        <w:rPr>
          <w:i/>
        </w:rPr>
        <w:t>et al.</w:t>
      </w:r>
      <w:r>
        <w:rPr>
          <w:i/>
        </w:rPr>
        <w:t xml:space="preserve"> </w:t>
      </w:r>
      <w:r>
        <w:t>(2012) investigate, using questionnaires, whether German and UK accountants make different choices when faced with IFRS estimations on provisions and contingent assets. However, they discover more variation within the countries than between them.</w:t>
      </w:r>
    </w:p>
    <w:p w14:paraId="370A5088" w14:textId="77777777" w:rsidR="00D2643B" w:rsidRDefault="00D2643B" w:rsidP="007809AF">
      <w:pPr>
        <w:spacing w:after="60" w:line="480" w:lineRule="auto"/>
        <w:ind w:firstLine="360"/>
      </w:pPr>
      <w:r>
        <w:t xml:space="preserve">André </w:t>
      </w:r>
      <w:r w:rsidRPr="002F61F1">
        <w:rPr>
          <w:i/>
        </w:rPr>
        <w:t>et al.</w:t>
      </w:r>
      <w:r>
        <w:rPr>
          <w:i/>
        </w:rPr>
        <w:t xml:space="preserve"> </w:t>
      </w:r>
      <w:r>
        <w:t>(2012) investigate, for 187 European companies, whether comparability of financial reports changed from 2003 (pre-IFRS) to 2005 (first IFRS) to 2010 (mature IFRS). They report increased comparability of practices on transition to IFRS but little change after that. They study 25 policy topics (referred to as</w:t>
      </w:r>
      <w:r w:rsidRPr="00C36767">
        <w:t xml:space="preserve"> </w:t>
      </w:r>
      <w:r>
        <w:t>choices, policies or options). These include 13 of the 16 topics used by Kvaal and Nobes (2010). However, many of the others are not policy choices in IFRS: some are covert options (which only allow choice at the margin),</w:t>
      </w:r>
      <w:r>
        <w:rPr>
          <w:rStyle w:val="FootnoteReference"/>
        </w:rPr>
        <w:footnoteReference w:id="43"/>
      </w:r>
      <w:r>
        <w:t xml:space="preserve"> and some result from different transactions (which might not allow any policy choice).</w:t>
      </w:r>
      <w:r>
        <w:rPr>
          <w:rStyle w:val="FootnoteReference"/>
        </w:rPr>
        <w:footnoteReference w:id="44"/>
      </w:r>
      <w:r>
        <w:t xml:space="preserve"> It is not clear how this affects their findings or the interpretation of them.</w:t>
      </w:r>
    </w:p>
    <w:p w14:paraId="21C04242" w14:textId="77777777" w:rsidR="00D2643B" w:rsidRDefault="00D2643B" w:rsidP="007809AF">
      <w:pPr>
        <w:spacing w:after="60" w:line="480" w:lineRule="auto"/>
        <w:ind w:firstLine="360"/>
      </w:pPr>
      <w:r>
        <w:tab/>
        <w:t>Kvaal and Nobes (2013) study an issue which does not easily fit into the categories of overt options, covert options, etc. They examine, for five countries in 2008/9, the quality of IFRS disclosures related to taxation. IAS 12 is not detailed about how the disclosures should be achieved. The research finds significantly different practices across countries, which cannot be explained by sectoral differences.</w:t>
      </w:r>
    </w:p>
    <w:p w14:paraId="67BA9113" w14:textId="77777777" w:rsidR="00D2643B" w:rsidRDefault="00D2643B">
      <w:pPr>
        <w:spacing w:after="60" w:line="480" w:lineRule="auto"/>
        <w:rPr>
          <w:b/>
        </w:rPr>
      </w:pPr>
      <w:r>
        <w:rPr>
          <w:b/>
        </w:rPr>
        <w:t>6.  Summary, conclusions and further research</w:t>
      </w:r>
    </w:p>
    <w:p w14:paraId="7B5C8175" w14:textId="77777777" w:rsidR="00D2643B" w:rsidRDefault="00D2643B">
      <w:pPr>
        <w:spacing w:after="60" w:line="480" w:lineRule="auto"/>
        <w:rPr>
          <w:i/>
        </w:rPr>
      </w:pPr>
      <w:r w:rsidRPr="008C07F6">
        <w:rPr>
          <w:i/>
        </w:rPr>
        <w:lastRenderedPageBreak/>
        <w:t>6.1 Jurisdictions</w:t>
      </w:r>
    </w:p>
    <w:p w14:paraId="26DF5380" w14:textId="77777777" w:rsidR="00D2643B" w:rsidRDefault="00D2643B" w:rsidP="000D1830">
      <w:pPr>
        <w:spacing w:after="60" w:line="480" w:lineRule="auto"/>
      </w:pPr>
      <w:r>
        <w:tab/>
        <w:t>Many academic and other writings refer to widespread adoption of IFRS</w:t>
      </w:r>
      <w:r w:rsidR="00675220">
        <w:t>.  This paper points out a number of</w:t>
      </w:r>
      <w:r>
        <w:t xml:space="preserve"> caveats: (i) several major capital markets do not require or do not allow any version of IFRS for any regulated reporting, (ii) the requirement or permission to use IFRS is restricted in most jurisdictions to certain types of reporters (e.g. listed companies) or types of reporting (e.g. consolidated statements) or both,</w:t>
      </w:r>
      <w:r w:rsidR="00675220">
        <w:t xml:space="preserve"> </w:t>
      </w:r>
      <w:r>
        <w:t>(iii) most adoptions do not require the direct application of IFRS as issued by the IASB</w:t>
      </w:r>
      <w:r w:rsidR="00675220">
        <w:t>, and (iv) in several countries, companies and auditors do not refer to compliance with  IASB-IFRS even when it is being achieved</w:t>
      </w:r>
      <w:r>
        <w:t xml:space="preserve">.  After examining the regulatory environment in the jurisdictions which harbour the world’s largest 16 stock markets, this paper concludes that none of them requires IASB-IFRS for all types of regulated reporting and that most of them do not even </w:t>
      </w:r>
      <w:r w:rsidRPr="004C563B">
        <w:rPr>
          <w:i/>
        </w:rPr>
        <w:t>allow</w:t>
      </w:r>
      <w:r>
        <w:t xml:space="preserve"> (let alone require) even some local version of IFRS for unconsolidated reporting. This is not necessarily a criticism of the IASB or of the jurisdictions, although the EU’s approach seems cumbersome and the general lack of reference to IASB-IFRS by EU listed companies </w:t>
      </w:r>
      <w:r w:rsidR="00675220">
        <w:t xml:space="preserve">and their auditors </w:t>
      </w:r>
      <w:r>
        <w:t>misses a major point of international harmonisation. The common restriction of IFRS to the consolidated statements of listed companies is also not necessarily a matter for criticism; it is those statements for which IFRS was primarily intended. However, the caveats do impl</w:t>
      </w:r>
      <w:r w:rsidR="00675220">
        <w:t>y a criticism of some claims about</w:t>
      </w:r>
      <w:r>
        <w:t xml:space="preserve"> IFRS adoption.</w:t>
      </w:r>
    </w:p>
    <w:p w14:paraId="609321DA" w14:textId="77777777" w:rsidR="00D2643B" w:rsidRDefault="00D2643B" w:rsidP="000D1830">
      <w:pPr>
        <w:spacing w:after="60" w:line="480" w:lineRule="auto"/>
      </w:pPr>
      <w:r>
        <w:tab/>
        <w:t>The author’s own assessment of the spread of IFRS follows.  Key words are in italics.</w:t>
      </w:r>
    </w:p>
    <w:p w14:paraId="0786858F" w14:textId="77777777" w:rsidR="00D2643B" w:rsidRDefault="00D2643B">
      <w:pPr>
        <w:tabs>
          <w:tab w:val="left" w:pos="720"/>
        </w:tabs>
        <w:spacing w:after="60" w:line="480" w:lineRule="auto"/>
        <w:ind w:left="1260" w:hanging="1260"/>
      </w:pPr>
      <w:r>
        <w:tab/>
        <w:t>(i)</w:t>
      </w:r>
      <w:r>
        <w:tab/>
        <w:t xml:space="preserve">The </w:t>
      </w:r>
      <w:r>
        <w:rPr>
          <w:i/>
        </w:rPr>
        <w:t xml:space="preserve">consolidated </w:t>
      </w:r>
      <w:r>
        <w:t xml:space="preserve">statements of the </w:t>
      </w:r>
      <w:r>
        <w:rPr>
          <w:i/>
        </w:rPr>
        <w:t>majority</w:t>
      </w:r>
      <w:r>
        <w:t xml:space="preserve"> of </w:t>
      </w:r>
      <w:r>
        <w:rPr>
          <w:i/>
        </w:rPr>
        <w:t>listed</w:t>
      </w:r>
      <w:r>
        <w:t xml:space="preserve"> companies in about </w:t>
      </w:r>
      <w:r>
        <w:rPr>
          <w:i/>
        </w:rPr>
        <w:t>ninety</w:t>
      </w:r>
      <w:r>
        <w:t xml:space="preserve"> countries are </w:t>
      </w:r>
      <w:r w:rsidRPr="00EC2AFC">
        <w:rPr>
          <w:i/>
        </w:rPr>
        <w:t>either</w:t>
      </w:r>
      <w:r>
        <w:t xml:space="preserve"> </w:t>
      </w:r>
      <w:r w:rsidRPr="004F1B00">
        <w:rPr>
          <w:i/>
        </w:rPr>
        <w:t>required to</w:t>
      </w:r>
      <w:r>
        <w:t xml:space="preserve"> </w:t>
      </w:r>
      <w:r>
        <w:rPr>
          <w:i/>
        </w:rPr>
        <w:t>comply</w:t>
      </w:r>
      <w:r>
        <w:t xml:space="preserve"> with </w:t>
      </w:r>
      <w:r>
        <w:rPr>
          <w:i/>
        </w:rPr>
        <w:t>IASB-</w:t>
      </w:r>
      <w:r w:rsidRPr="004F1B00">
        <w:rPr>
          <w:i/>
        </w:rPr>
        <w:t>IFRS</w:t>
      </w:r>
      <w:r w:rsidR="00675220">
        <w:rPr>
          <w:i/>
        </w:rPr>
        <w:t>,</w:t>
      </w:r>
      <w:r w:rsidRPr="004F1B00">
        <w:rPr>
          <w:i/>
        </w:rPr>
        <w:t xml:space="preserve"> </w:t>
      </w:r>
      <w:r w:rsidRPr="00675220">
        <w:t>or</w:t>
      </w:r>
      <w:r w:rsidRPr="004F1B00">
        <w:rPr>
          <w:i/>
        </w:rPr>
        <w:t xml:space="preserve"> choose </w:t>
      </w:r>
      <w:r w:rsidRPr="004F1B00">
        <w:t>to do so</w:t>
      </w:r>
      <w:r>
        <w:rPr>
          <w:i/>
        </w:rPr>
        <w:t>.</w:t>
      </w:r>
    </w:p>
    <w:p w14:paraId="4EBE7EDD" w14:textId="77777777" w:rsidR="00D2643B" w:rsidRDefault="00D2643B">
      <w:pPr>
        <w:tabs>
          <w:tab w:val="left" w:pos="720"/>
        </w:tabs>
        <w:spacing w:after="60" w:line="480" w:lineRule="auto"/>
        <w:ind w:left="1260" w:hanging="1260"/>
      </w:pPr>
      <w:r>
        <w:lastRenderedPageBreak/>
        <w:tab/>
        <w:t>(ii)</w:t>
      </w:r>
      <w:r>
        <w:tab/>
        <w:t xml:space="preserve">In many of the above countries (e.g. the 27 countries of the EU), IASB-IFRS is </w:t>
      </w:r>
      <w:r w:rsidRPr="004F1B00">
        <w:rPr>
          <w:i/>
        </w:rPr>
        <w:t>not</w:t>
      </w:r>
      <w:r>
        <w:t xml:space="preserve"> </w:t>
      </w:r>
      <w:r>
        <w:rPr>
          <w:i/>
        </w:rPr>
        <w:t>required</w:t>
      </w:r>
      <w:r w:rsidR="00675220">
        <w:t xml:space="preserve"> for the above purpose;</w:t>
      </w:r>
      <w:r>
        <w:t xml:space="preserve"> although most companies </w:t>
      </w:r>
      <w:r w:rsidR="00675220">
        <w:t xml:space="preserve">probably </w:t>
      </w:r>
      <w:r>
        <w:t>c</w:t>
      </w:r>
      <w:r w:rsidR="00675220">
        <w:t xml:space="preserve">hoose to comply with IASB-IFRS, </w:t>
      </w:r>
      <w:r>
        <w:t xml:space="preserve">the clearest </w:t>
      </w:r>
      <w:r>
        <w:rPr>
          <w:i/>
        </w:rPr>
        <w:t>exception</w:t>
      </w:r>
      <w:r>
        <w:t xml:space="preserve"> being a number of EU banks.  Most EU companies (and their auditors) </w:t>
      </w:r>
      <w:r>
        <w:rPr>
          <w:i/>
        </w:rPr>
        <w:t>do not state compliance</w:t>
      </w:r>
      <w:r>
        <w:t xml:space="preserve"> </w:t>
      </w:r>
      <w:r w:rsidRPr="004F1B00">
        <w:rPr>
          <w:i/>
        </w:rPr>
        <w:t>with IASB-IFRS</w:t>
      </w:r>
      <w:r>
        <w:t>.</w:t>
      </w:r>
    </w:p>
    <w:p w14:paraId="7D15BBCC" w14:textId="77777777" w:rsidR="00D2643B" w:rsidRDefault="00D2643B">
      <w:pPr>
        <w:tabs>
          <w:tab w:val="left" w:pos="720"/>
        </w:tabs>
        <w:spacing w:after="60" w:line="480" w:lineRule="auto"/>
        <w:ind w:left="1260" w:hanging="1260"/>
      </w:pPr>
      <w:r>
        <w:tab/>
        <w:t>(iii)</w:t>
      </w:r>
      <w:r>
        <w:tab/>
        <w:t xml:space="preserve">In some of the countries in (i) above (e.g. Australia), it is not IASB-IFRS that is </w:t>
      </w:r>
      <w:r>
        <w:rPr>
          <w:i/>
        </w:rPr>
        <w:t>required</w:t>
      </w:r>
      <w:r>
        <w:t xml:space="preserve"> but a version of it that is </w:t>
      </w:r>
      <w:r>
        <w:rPr>
          <w:i/>
        </w:rPr>
        <w:t>intended to ensure compliance</w:t>
      </w:r>
      <w:r>
        <w:t xml:space="preserve"> with it.</w:t>
      </w:r>
    </w:p>
    <w:p w14:paraId="45D2874E" w14:textId="77777777" w:rsidR="00D2643B" w:rsidRDefault="00D2643B">
      <w:pPr>
        <w:tabs>
          <w:tab w:val="left" w:pos="720"/>
        </w:tabs>
        <w:spacing w:after="60" w:line="480" w:lineRule="auto"/>
        <w:ind w:left="1260" w:hanging="1260"/>
      </w:pPr>
      <w:r>
        <w:tab/>
        <w:t>(iv)</w:t>
      </w:r>
      <w:r>
        <w:tab/>
        <w:t xml:space="preserve">In some of the countries in (i) above (e.g. Canada), there is a requirement to follow the content of IASB-IFRS (or a translation of it) except that </w:t>
      </w:r>
      <w:r w:rsidRPr="004F1B00">
        <w:rPr>
          <w:i/>
        </w:rPr>
        <w:t xml:space="preserve">several important companies are </w:t>
      </w:r>
      <w:r>
        <w:rPr>
          <w:i/>
        </w:rPr>
        <w:t>exempted</w:t>
      </w:r>
      <w:r>
        <w:t>.</w:t>
      </w:r>
    </w:p>
    <w:p w14:paraId="389DA177" w14:textId="77777777" w:rsidR="00D2643B" w:rsidRDefault="00D2643B">
      <w:pPr>
        <w:tabs>
          <w:tab w:val="left" w:pos="720"/>
        </w:tabs>
        <w:spacing w:after="60" w:line="480" w:lineRule="auto"/>
        <w:ind w:left="1260" w:hanging="1260"/>
      </w:pPr>
      <w:r>
        <w:tab/>
        <w:t>(v)</w:t>
      </w:r>
      <w:r>
        <w:tab/>
        <w:t xml:space="preserve">In some further countries, IASB-IFRS is </w:t>
      </w:r>
      <w:r>
        <w:rPr>
          <w:i/>
        </w:rPr>
        <w:t>allowed</w:t>
      </w:r>
      <w:r>
        <w:t xml:space="preserve"> for the </w:t>
      </w:r>
      <w:r>
        <w:rPr>
          <w:i/>
        </w:rPr>
        <w:t>consolidated</w:t>
      </w:r>
      <w:r>
        <w:t xml:space="preserve"> statements of </w:t>
      </w:r>
      <w:r>
        <w:rPr>
          <w:i/>
        </w:rPr>
        <w:t>listed</w:t>
      </w:r>
      <w:r>
        <w:t xml:space="preserve"> companies.  In some of these countries (e.g. Switzerland), </w:t>
      </w:r>
      <w:r>
        <w:rPr>
          <w:i/>
        </w:rPr>
        <w:t>many companies comply with IASB-IFRS</w:t>
      </w:r>
      <w:r>
        <w:t xml:space="preserve"> but in others (e.g. Japan) </w:t>
      </w:r>
      <w:r>
        <w:rPr>
          <w:i/>
        </w:rPr>
        <w:t>few companies comply</w:t>
      </w:r>
      <w:r>
        <w:t>.</w:t>
      </w:r>
    </w:p>
    <w:p w14:paraId="12481BD0" w14:textId="77777777" w:rsidR="00D2643B" w:rsidRDefault="00D2643B">
      <w:pPr>
        <w:tabs>
          <w:tab w:val="left" w:pos="720"/>
        </w:tabs>
        <w:spacing w:after="60" w:line="480" w:lineRule="auto"/>
        <w:ind w:left="1260" w:hanging="1260"/>
      </w:pPr>
      <w:r>
        <w:tab/>
        <w:t>(vi)</w:t>
      </w:r>
      <w:r>
        <w:tab/>
        <w:t xml:space="preserve">In some further countries (e.g. China and Venezuela), considerable convergence with IASB-IFRS has been achieved but companies do not state compliance and are </w:t>
      </w:r>
      <w:r w:rsidRPr="004F1B00">
        <w:rPr>
          <w:i/>
        </w:rPr>
        <w:t>probably not achieving it</w:t>
      </w:r>
      <w:r>
        <w:t>.</w:t>
      </w:r>
    </w:p>
    <w:p w14:paraId="735FBC46" w14:textId="77777777" w:rsidR="00D2643B" w:rsidRDefault="00D2643B" w:rsidP="00A60F43">
      <w:pPr>
        <w:spacing w:after="60" w:line="480" w:lineRule="auto"/>
      </w:pPr>
      <w:r>
        <w:tab/>
        <w:t>(vii)</w:t>
      </w:r>
      <w:r>
        <w:tab/>
        <w:t xml:space="preserve">In a majority of the countries in (i) above, IASB-IFRS (or something </w:t>
      </w:r>
      <w:r>
        <w:tab/>
      </w:r>
      <w:r w:rsidR="001A3F30">
        <w:tab/>
      </w:r>
      <w:r w:rsidR="001A3F30">
        <w:tab/>
      </w:r>
      <w:r>
        <w:t xml:space="preserve">intended to ensure compliance with that) is </w:t>
      </w:r>
      <w:r>
        <w:rPr>
          <w:i/>
        </w:rPr>
        <w:t>not required</w:t>
      </w:r>
      <w:r>
        <w:t xml:space="preserve"> for any reporting </w:t>
      </w:r>
      <w:r w:rsidR="001A3F30">
        <w:tab/>
      </w:r>
      <w:r w:rsidR="001A3F30">
        <w:tab/>
      </w:r>
      <w:r w:rsidR="001A3F30">
        <w:tab/>
        <w:t xml:space="preserve">by </w:t>
      </w:r>
      <w:r>
        <w:t>unlisted companies.</w:t>
      </w:r>
    </w:p>
    <w:p w14:paraId="3AC6AEBC" w14:textId="77777777" w:rsidR="00D2643B" w:rsidRPr="00A60F43" w:rsidRDefault="00D2643B" w:rsidP="00A60F43">
      <w:pPr>
        <w:spacing w:after="60" w:line="480" w:lineRule="auto"/>
      </w:pPr>
      <w:r>
        <w:tab/>
        <w:t xml:space="preserve">Readers are encouraged to note the distinction between </w:t>
      </w:r>
      <w:r>
        <w:rPr>
          <w:i/>
        </w:rPr>
        <w:t>de jure</w:t>
      </w:r>
      <w:r>
        <w:t xml:space="preserve"> matters (requirements or permissions) and </w:t>
      </w:r>
      <w:r>
        <w:rPr>
          <w:i/>
        </w:rPr>
        <w:t>de facto</w:t>
      </w:r>
      <w:r>
        <w:t xml:space="preserve"> matters (company practice).</w:t>
      </w:r>
      <w:r w:rsidRPr="004F1B00">
        <w:t xml:space="preserve"> </w:t>
      </w:r>
      <w:r>
        <w:t xml:space="preserve">This paper has noted that some researchers have not been clear about their regulatory setting, and others </w:t>
      </w:r>
      <w:r>
        <w:lastRenderedPageBreak/>
        <w:t>have made claims about IFRS adoption which are implausible once the regulatory setting is considered.</w:t>
      </w:r>
    </w:p>
    <w:p w14:paraId="732A2BF3" w14:textId="77777777" w:rsidR="00D2643B" w:rsidRPr="00D2643B" w:rsidRDefault="000F0496" w:rsidP="000D1830">
      <w:pPr>
        <w:spacing w:after="60" w:line="480" w:lineRule="auto"/>
        <w:rPr>
          <w:i/>
        </w:rPr>
      </w:pPr>
      <w:r w:rsidRPr="000F0496">
        <w:rPr>
          <w:i/>
        </w:rPr>
        <w:t>6.2 Country-related differences in IFRS practices</w:t>
      </w:r>
    </w:p>
    <w:p w14:paraId="33E4F852" w14:textId="77777777" w:rsidR="00D2643B" w:rsidRDefault="00D2643B" w:rsidP="000D1830">
      <w:pPr>
        <w:spacing w:after="60" w:line="480" w:lineRule="auto"/>
      </w:pPr>
      <w:r>
        <w:tab/>
        <w:t>When examining a typical IFRS audit report for an EU company, eight ‘national’ aspects of regulation were identified, which include language</w:t>
      </w:r>
      <w:r w:rsidR="00537448">
        <w:t xml:space="preserve"> and enforcement issues.  S</w:t>
      </w:r>
      <w:r>
        <w:t>imilar issues apply more widely</w:t>
      </w:r>
      <w:r w:rsidR="00537448">
        <w:t xml:space="preserve"> across the world</w:t>
      </w:r>
      <w:r>
        <w:t>, and they can lead to international differences in IFRS practice. In addition, five aspects of the content of IFRS can lead to international differences in the application of IFR</w:t>
      </w:r>
      <w:r w:rsidR="00537448">
        <w:t>S. Of these, this paper up-dates</w:t>
      </w:r>
      <w:r>
        <w:t xml:space="preserve"> and expands the earlier discussion of covert options; and then it focuses in detail on overt options.  The gradual change in the list of overt options since 2001 is charted, as a guide for researchers.  Then the empirical literature, relating to IFRS practices from 2005, is synthesised.</w:t>
      </w:r>
    </w:p>
    <w:p w14:paraId="7217431E" w14:textId="77777777" w:rsidR="00D2643B" w:rsidRDefault="00D2643B" w:rsidP="000D1830">
      <w:pPr>
        <w:spacing w:after="60" w:line="480" w:lineRule="auto"/>
      </w:pPr>
      <w:r>
        <w:tab/>
        <w:t xml:space="preserve">There is overwhelming evidence that the most powerful single explanatory variable for a company’s IFRS policy choices is its pre-IFRS policies.  Since the latter were mostly determined by the accounting requirements or other institutional features of its country, then country can be used as a proxy variable for pre-IFRS practices. The findings also mean that there are clear national profiles of IFRS practices and that countries can be classified into the same groups as suggested decades earlier for pre-IFRS national practices.  Recent data on Canadian IFRS practices, reported in this paper, confirm the persistence of pre-IFRS national practices, even when the IASB has already issued standards which will soon outlaw them. Country is also a major explanation for the amount of IFRS policy </w:t>
      </w:r>
      <w:r>
        <w:rPr>
          <w:i/>
        </w:rPr>
        <w:t>change</w:t>
      </w:r>
      <w:r>
        <w:t xml:space="preserve"> over time.  </w:t>
      </w:r>
    </w:p>
    <w:p w14:paraId="0176D43B" w14:textId="77777777" w:rsidR="00D2643B" w:rsidRDefault="00D2643B" w:rsidP="000D1830">
      <w:pPr>
        <w:spacing w:after="60" w:line="480" w:lineRule="auto"/>
      </w:pPr>
      <w:r>
        <w:tab/>
        <w:t xml:space="preserve">However, sector is also relevant in explaining IFRS policy choice.  It has been clear to all researchers that financial companies are likely to have sector-specific policies on certain topics.  In IFRS, there are no sector-specific differences in the rules for </w:t>
      </w:r>
      <w:r>
        <w:lastRenderedPageBreak/>
        <w:t>financial companies (or for any others), but the pre-IFRS sector-specific national rules clearly influence IFRS practice.  This paper has summarised and (relating to Canada) added to, the evidence that extractive companies also have idiosyncratic policies.  One conclusion is that rese</w:t>
      </w:r>
      <w:r w:rsidR="00EA424A">
        <w:t>archers should separately record data</w:t>
      </w:r>
      <w:r>
        <w:t xml:space="preserve"> on them.</w:t>
      </w:r>
    </w:p>
    <w:p w14:paraId="46B89880" w14:textId="77777777" w:rsidR="00D2643B" w:rsidRDefault="00D2643B" w:rsidP="000D1830">
      <w:pPr>
        <w:spacing w:after="60" w:line="480" w:lineRule="auto"/>
      </w:pPr>
      <w:r>
        <w:tab/>
        <w:t>Most of the empirical papers on the IFRS policy choices relate to very large listed companies.  Within that context, size as a variable has been included but has not revealed much explanatory power.  However, when the largest listed companies are compared to the smallest, highly significant differences are found within any country.  This finding related to size does not reduce the importance of country.  By contrast, the IFRS practices of the smaller listed companies are even closer to pre-IFRS national practices, are more homogeneous within a country, and therefore show even clearer national profiles.  A conclusion is that researchers who study the largest companies need to insert caveat</w:t>
      </w:r>
      <w:r w:rsidR="00EA424A">
        <w:t xml:space="preserve">s about the generalisability </w:t>
      </w:r>
      <w:r>
        <w:t>of their findings, though not about the importance of country.</w:t>
      </w:r>
    </w:p>
    <w:p w14:paraId="32BF41C4" w14:textId="77777777" w:rsidR="00EA424A" w:rsidRDefault="00D2643B" w:rsidP="00EA424A">
      <w:pPr>
        <w:spacing w:after="60" w:line="480" w:lineRule="auto"/>
      </w:pPr>
      <w:r>
        <w:tab/>
        <w:t xml:space="preserve">One reason for being interested in policy differences is the effect that they might have on the comparability of financial statements. </w:t>
      </w:r>
      <w:r w:rsidR="00EA424A">
        <w:t xml:space="preserve">There is some evidence that large and multi-listed companies gradually move towards more uniform practices internationally and within their sector. </w:t>
      </w:r>
      <w:r>
        <w:t>Many of the policy differences associated with country or with size seem to be unrelated to differences in underlying transactions. For example, the researchers have been unable to identify such reasons for differences in policies with respect to the treatment of actuarial losses or of joint ventures. Even where sector could perhaps affect the underlying transactions (e.g. in inventory flows), the policy differences on most topics are still better explained by a country variable (e.g. caused by the effect of tax on the unconsolidated components of the con</w:t>
      </w:r>
      <w:r w:rsidR="00EA424A">
        <w:t xml:space="preserve">solidated statements). A </w:t>
      </w:r>
      <w:r>
        <w:t xml:space="preserve">conclusion is that the standard-setters should continue the process of removing options in standards. </w:t>
      </w:r>
      <w:r w:rsidR="00EA424A">
        <w:t xml:space="preserve">This is not a call for a type of uniformity which masks economic differences. If there are </w:t>
      </w:r>
      <w:r w:rsidR="00EA424A">
        <w:lastRenderedPageBreak/>
        <w:t xml:space="preserve">different types of transactions, a standard can set out different practices for the different economic circumstances. </w:t>
      </w:r>
    </w:p>
    <w:p w14:paraId="6E4AC448" w14:textId="77777777" w:rsidR="00D2643B" w:rsidRPr="00EA424A" w:rsidRDefault="00D2643B" w:rsidP="00EA424A">
      <w:pPr>
        <w:spacing w:after="60" w:line="480" w:lineRule="auto"/>
      </w:pPr>
      <w:r w:rsidRPr="008C07F6">
        <w:rPr>
          <w:i/>
        </w:rPr>
        <w:t>Being fair to IFRS</w:t>
      </w:r>
    </w:p>
    <w:p w14:paraId="4558F451" w14:textId="77777777" w:rsidR="00D2643B" w:rsidRDefault="00D2643B" w:rsidP="004D1B3C">
      <w:pPr>
        <w:spacing w:after="60" w:line="480" w:lineRule="auto"/>
      </w:pPr>
      <w:r>
        <w:tab/>
        <w:t xml:space="preserve">As explained earlier, the discussion about the </w:t>
      </w:r>
      <w:r w:rsidR="006C3DAA">
        <w:t xml:space="preserve">diverse </w:t>
      </w:r>
      <w:r>
        <w:t>methods of adoption of IFRS by jurisdictions should not generally be taken as criticism of those jurisdictions or of the IASB. Turning to other aspects of the scope for country-based differences in IFRS practices, should these remarks be taken as critical of the IASB?  On enforcement, of course, the IASB has no powers.  If any other GAAP (e.g. US GAAP) had been adopted globally, similar enforcement problems would follow, unless the content of IFRS is inherently more difficult to enforce (see below).  Similarly, if the EU had adopted US GAAP, there would have been a need to produce an official translation in (for example) Bulgarian which, given the much greater volume of US GAAP, would have been even more troublesome.</w:t>
      </w:r>
    </w:p>
    <w:p w14:paraId="00A1B281" w14:textId="77777777" w:rsidR="006C3DAA" w:rsidRDefault="00D2643B" w:rsidP="004D1B3C">
      <w:pPr>
        <w:spacing w:after="60" w:line="480" w:lineRule="auto"/>
      </w:pPr>
      <w:r>
        <w:tab/>
        <w:t>Would an adoption of US GAAP (instead of IFRS) have lessened the scope for choice and judgement?  Sections 4.2 to 4.4 suggest that, despite a few counter examples (e.g. permission to use LIFO), US GAAP generally involves fewer options and less judgement.  Whether this would have implied greater comparability (or better accounting) is a different question.  However, the research surveyed above suggests that the choice of IFRS options is largely driven by country, and little affected by sector</w:t>
      </w:r>
      <w:r w:rsidR="006C3DAA">
        <w:t xml:space="preserve"> or by differing economic circumstances</w:t>
      </w:r>
      <w:r>
        <w:t xml:space="preserve">.  </w:t>
      </w:r>
    </w:p>
    <w:p w14:paraId="5649A1A1" w14:textId="77777777" w:rsidR="00D2643B" w:rsidRPr="004D1B3C" w:rsidRDefault="00D2643B" w:rsidP="004D1B3C">
      <w:pPr>
        <w:spacing w:after="60" w:line="480" w:lineRule="auto"/>
      </w:pPr>
      <w:r>
        <w:t xml:space="preserve">6.4 </w:t>
      </w:r>
      <w:r w:rsidRPr="008C07F6">
        <w:rPr>
          <w:i/>
        </w:rPr>
        <w:t>Further research</w:t>
      </w:r>
    </w:p>
    <w:p w14:paraId="61CA821E" w14:textId="77777777" w:rsidR="006A2A76" w:rsidRDefault="00D2643B" w:rsidP="007568C6">
      <w:pPr>
        <w:spacing w:after="60" w:line="480" w:lineRule="auto"/>
        <w:ind w:firstLine="720"/>
      </w:pPr>
      <w:r>
        <w:tab/>
        <w:t xml:space="preserve">The final section of Nobes (2006) presented a research agenda in the form of hypotheses related to the eight types of scope for international differences in IFRS practice, generally using Germany and the UK as example countries.  This is shown here as Table 9. </w:t>
      </w:r>
    </w:p>
    <w:p w14:paraId="30EE9C08" w14:textId="77777777" w:rsidR="00B82508" w:rsidRDefault="006A2A76" w:rsidP="00B82508">
      <w:pPr>
        <w:tabs>
          <w:tab w:val="left" w:pos="4678"/>
        </w:tabs>
        <w:spacing w:after="60" w:line="480" w:lineRule="auto"/>
        <w:ind w:firstLine="720"/>
      </w:pPr>
      <w:r>
        <w:lastRenderedPageBreak/>
        <w:t>INSERT TABLE 9 HEREABOUTS</w:t>
      </w:r>
    </w:p>
    <w:p w14:paraId="4CE49E4C" w14:textId="77777777" w:rsidR="00D2643B" w:rsidRDefault="00D2643B" w:rsidP="007568C6">
      <w:pPr>
        <w:spacing w:after="60" w:line="480" w:lineRule="auto"/>
        <w:ind w:firstLine="720"/>
      </w:pPr>
      <w:r>
        <w:t>Of these hypotheses, H</w:t>
      </w:r>
      <w:r>
        <w:rPr>
          <w:vertAlign w:val="subscript"/>
        </w:rPr>
        <w:t>1</w:t>
      </w:r>
      <w:r>
        <w:t xml:space="preserve"> could be checked for banks to see if the EU ‘carve out’ is an important issue in practice.  H</w:t>
      </w:r>
      <w:r>
        <w:rPr>
          <w:vertAlign w:val="subscript"/>
        </w:rPr>
        <w:t>2</w:t>
      </w:r>
      <w:r>
        <w:t xml:space="preserve"> could be checked to see, for example, if the error in the German translation of IAS 19 (referred to above) affects discount rates.  H</w:t>
      </w:r>
      <w:r>
        <w:rPr>
          <w:vertAlign w:val="subscript"/>
        </w:rPr>
        <w:t>3</w:t>
      </w:r>
      <w:r>
        <w:rPr>
          <w:i/>
          <w:vertAlign w:val="subscript"/>
        </w:rPr>
        <w:t xml:space="preserve"> </w:t>
      </w:r>
      <w:r>
        <w:t>could be examined by comparing IFRS-using insurance companies around the world.  H</w:t>
      </w:r>
      <w:r>
        <w:rPr>
          <w:vertAlign w:val="subscript"/>
        </w:rPr>
        <w:t>4</w:t>
      </w:r>
      <w:r>
        <w:t xml:space="preserve"> is the main topic of the papers discussed in Section 5 above.  Especially for less weighty research (e.g. for dissertations on masters’ degrees), there are almost endless opportunities for replication of the study of the overt options, for different countries and in later years. </w:t>
      </w:r>
    </w:p>
    <w:p w14:paraId="799996B5" w14:textId="77777777" w:rsidR="00D2643B" w:rsidRDefault="00D2643B" w:rsidP="007568C6">
      <w:pPr>
        <w:spacing w:after="60" w:line="480" w:lineRule="auto"/>
        <w:ind w:firstLine="720"/>
      </w:pPr>
      <w:r>
        <w:t>On H</w:t>
      </w:r>
      <w:r w:rsidRPr="008C07F6">
        <w:rPr>
          <w:vertAlign w:val="subscript"/>
        </w:rPr>
        <w:t>5</w:t>
      </w:r>
      <w:r>
        <w:t xml:space="preserve">, there has been little research on the international differences in the use of covert options.  These </w:t>
      </w:r>
      <w:r w:rsidR="006C3DAA">
        <w:t>differences might ha</w:t>
      </w:r>
      <w:r>
        <w:t>ve much greater effects (than those of overt options) on assets, earnings etc.  Researchers have begun to investigate this important issue through case studies, e.g. involving interviews in major IFRS-using companies of the same industry from several countries.  For H</w:t>
      </w:r>
      <w:r>
        <w:rPr>
          <w:vertAlign w:val="subscript"/>
        </w:rPr>
        <w:t>6</w:t>
      </w:r>
      <w:r>
        <w:t>, a study of estimations would be difficult to pursue using published financial statements, but the same approach as used for H</w:t>
      </w:r>
      <w:r>
        <w:rPr>
          <w:vertAlign w:val="subscript"/>
        </w:rPr>
        <w:t>5</w:t>
      </w:r>
      <w:r>
        <w:t xml:space="preserve"> might succeed.  </w:t>
      </w:r>
    </w:p>
    <w:p w14:paraId="14379A70" w14:textId="77777777" w:rsidR="00D2643B" w:rsidRDefault="00D2643B" w:rsidP="007568C6">
      <w:pPr>
        <w:spacing w:after="60" w:line="480" w:lineRule="auto"/>
        <w:ind w:firstLine="720"/>
      </w:pPr>
      <w:r>
        <w:t>H</w:t>
      </w:r>
      <w:r>
        <w:rPr>
          <w:vertAlign w:val="subscript"/>
        </w:rPr>
        <w:t>7</w:t>
      </w:r>
      <w:r>
        <w:t xml:space="preserve"> is difficult to examine: the </w:t>
      </w:r>
      <w:r>
        <w:rPr>
          <w:i/>
        </w:rPr>
        <w:t>direction</w:t>
      </w:r>
      <w:r>
        <w:t xml:space="preserve"> of international differences on transitional issues can be worked out</w:t>
      </w:r>
      <w:r w:rsidR="006C3DAA">
        <w:t>,</w:t>
      </w:r>
      <w:r>
        <w:t xml:space="preserve"> but quantification would rely on knowing what financial statements would have looked like if IFRS had been fully applied retrospectively. This is likely to be impossible for researchers to discover; the difficulties in doing it, even inside the company, led to the inclusion of the exemptions from retrospection in IFRS 1.  On H</w:t>
      </w:r>
      <w:r>
        <w:rPr>
          <w:vertAlign w:val="subscript"/>
        </w:rPr>
        <w:t>8</w:t>
      </w:r>
      <w:r>
        <w:t>, several studies on compliance with disclosures have been noted above.  There is scope for these on a wider group of coun</w:t>
      </w:r>
      <w:r w:rsidR="006C3DAA">
        <w:t>tries.  A study of compliance relating to</w:t>
      </w:r>
      <w:r>
        <w:t xml:space="preserve"> aspects other than disclosures would be potentially more interesting but previous studies (e.g. ICAEW, 2007) have discovered little non-compliance; studies of the audited financial statements </w:t>
      </w:r>
      <w:r>
        <w:lastRenderedPageBreak/>
        <w:t xml:space="preserve">of listed companies are unlikely to discover substantial amounts of non-compliance by looking at stated accounting policies. </w:t>
      </w:r>
    </w:p>
    <w:p w14:paraId="342C77C1" w14:textId="77777777" w:rsidR="00D2643B" w:rsidRPr="00F4336D" w:rsidRDefault="00D2643B" w:rsidP="00E00281">
      <w:pPr>
        <w:spacing w:after="60" w:line="480" w:lineRule="auto"/>
        <w:ind w:firstLine="720"/>
      </w:pPr>
      <w:r>
        <w:t>There are several more specific opportunities for research.  First, the policy choices of financial companies are under-researched.  This is despite their importance: of the companies in Table 6, they comprise 40% of the Australian companies, 48% of the Italian and 25% of the UK. Yet, most of the pa</w:t>
      </w:r>
      <w:r w:rsidR="006C3DAA">
        <w:t>pers examined above exclude financials</w:t>
      </w:r>
      <w:r>
        <w:t xml:space="preserve"> entirely, and the remaining papers exclude them for most policy topics. Secondly, it is now clear that extractive industries also make sector-specific policy choices. This could be investigated further; to assess, for example, whether international comparability is the driver. Using quite different approaches, there is plenty of scope for looking into the economic effects of the different policy choices; and some such research has begun. </w:t>
      </w:r>
    </w:p>
    <w:p w14:paraId="28FB0261" w14:textId="77777777" w:rsidR="00D2643B" w:rsidRDefault="00D2643B">
      <w:r>
        <w:br w:type="page"/>
      </w:r>
    </w:p>
    <w:p w14:paraId="4096FFDB" w14:textId="77777777" w:rsidR="00D2643B" w:rsidRPr="00787859" w:rsidRDefault="00D2643B" w:rsidP="00902714">
      <w:pPr>
        <w:spacing w:line="480" w:lineRule="auto"/>
        <w:ind w:left="360" w:hanging="360"/>
        <w:rPr>
          <w:b/>
        </w:rPr>
      </w:pPr>
      <w:r>
        <w:rPr>
          <w:b/>
        </w:rPr>
        <w:lastRenderedPageBreak/>
        <w:t>References</w:t>
      </w:r>
    </w:p>
    <w:p w14:paraId="7BE24C5F" w14:textId="77777777" w:rsidR="00D2643B" w:rsidRDefault="00D2643B" w:rsidP="00901114">
      <w:pPr>
        <w:spacing w:after="60" w:line="480" w:lineRule="auto"/>
        <w:ind w:left="360" w:hanging="360"/>
      </w:pPr>
      <w:r>
        <w:t xml:space="preserve">AAA , 1977. </w:t>
      </w:r>
      <w:r>
        <w:rPr>
          <w:i/>
        </w:rPr>
        <w:t>Accounting Review</w:t>
      </w:r>
      <w:r>
        <w:t xml:space="preserve">, </w:t>
      </w:r>
      <w:r>
        <w:rPr>
          <w:i/>
        </w:rPr>
        <w:t>Supplement to Vol. 52</w:t>
      </w:r>
      <w:r>
        <w:t>: 65-132. Sarasota, Fl.: American Accounting Association.</w:t>
      </w:r>
    </w:p>
    <w:p w14:paraId="3398D438" w14:textId="77777777" w:rsidR="00153AE0" w:rsidRDefault="00153AE0" w:rsidP="00901114">
      <w:pPr>
        <w:spacing w:after="60" w:line="480" w:lineRule="auto"/>
        <w:ind w:left="360" w:hanging="360"/>
      </w:pPr>
      <w:r>
        <w:t xml:space="preserve">AICPA. 2013. </w:t>
      </w:r>
      <w:r w:rsidRPr="00153AE0">
        <w:rPr>
          <w:i/>
        </w:rPr>
        <w:t>IFRS Resources: IFRS FAQs</w:t>
      </w:r>
      <w:r>
        <w:t xml:space="preserve">. at </w:t>
      </w:r>
      <w:hyperlink r:id="rId8" w:anchor="q3" w:history="1">
        <w:r w:rsidRPr="004E0DF3">
          <w:rPr>
            <w:rStyle w:val="Hyperlink"/>
          </w:rPr>
          <w:t>http://www.ifrs.com/ifrs_faqs.html#q3</w:t>
        </w:r>
      </w:hyperlink>
      <w:r>
        <w:t>, accessed on 1.1.2013.</w:t>
      </w:r>
    </w:p>
    <w:p w14:paraId="09123DFE" w14:textId="77777777" w:rsidR="00D2643B" w:rsidRDefault="00D2643B" w:rsidP="00901114">
      <w:pPr>
        <w:spacing w:after="60" w:line="480" w:lineRule="auto"/>
        <w:ind w:left="360" w:hanging="360"/>
      </w:pPr>
      <w:r w:rsidRPr="004204A5">
        <w:t>Alex</w:t>
      </w:r>
      <w:r>
        <w:t xml:space="preserve">ander, D. and Archer, S., 2000. </w:t>
      </w:r>
      <w:r w:rsidRPr="004204A5">
        <w:t>On the myth of A</w:t>
      </w:r>
      <w:r>
        <w:t>nglo-Saxon financial accounting.</w:t>
      </w:r>
      <w:r w:rsidRPr="004204A5">
        <w:t xml:space="preserve"> </w:t>
      </w:r>
      <w:r w:rsidRPr="004204A5">
        <w:rPr>
          <w:i/>
        </w:rPr>
        <w:t xml:space="preserve">International Journal of </w:t>
      </w:r>
      <w:r w:rsidR="008B516F" w:rsidRPr="004204A5">
        <w:rPr>
          <w:i/>
        </w:rPr>
        <w:t>a</w:t>
      </w:r>
      <w:r w:rsidRPr="004204A5">
        <w:rPr>
          <w:i/>
        </w:rPr>
        <w:t>ccounting</w:t>
      </w:r>
      <w:r w:rsidRPr="004204A5">
        <w:t xml:space="preserve">, </w:t>
      </w:r>
      <w:r>
        <w:t>35(</w:t>
      </w:r>
      <w:r w:rsidRPr="004204A5">
        <w:t>4</w:t>
      </w:r>
      <w:r>
        <w:t>), 539-557.</w:t>
      </w:r>
    </w:p>
    <w:p w14:paraId="1BE0DDFE" w14:textId="77777777" w:rsidR="00D2643B" w:rsidRDefault="00D2643B" w:rsidP="00901114">
      <w:pPr>
        <w:spacing w:after="60" w:line="480" w:lineRule="auto"/>
        <w:ind w:left="360" w:hanging="360"/>
      </w:pPr>
      <w:r>
        <w:t>André, P., Dionysiou, D. and</w:t>
      </w:r>
      <w:r w:rsidRPr="00DD126B">
        <w:t xml:space="preserve"> </w:t>
      </w:r>
      <w:r>
        <w:t xml:space="preserve"> Tsalavoutas, I., 2012. Mandatory adoption of IFRS by EU listed firms and comparability: determinants and analysts’ forecasts. Paper presented at the European Accounting Association Conference, Ljubljana.</w:t>
      </w:r>
    </w:p>
    <w:p w14:paraId="1CB10CE7" w14:textId="77777777" w:rsidR="00D2643B" w:rsidRDefault="00D2643B" w:rsidP="00901114">
      <w:pPr>
        <w:spacing w:after="60" w:line="480" w:lineRule="auto"/>
        <w:ind w:left="360" w:hanging="360"/>
      </w:pPr>
      <w:r>
        <w:t xml:space="preserve">Ashbaugh, H., 2001. Non-US firms’ accounting standard choices. </w:t>
      </w:r>
      <w:r>
        <w:rPr>
          <w:i/>
        </w:rPr>
        <w:t>Journal o</w:t>
      </w:r>
      <w:r w:rsidR="008B516F">
        <w:rPr>
          <w:i/>
        </w:rPr>
        <w:t>f accounting and public po</w:t>
      </w:r>
      <w:r>
        <w:rPr>
          <w:i/>
        </w:rPr>
        <w:t>licy</w:t>
      </w:r>
      <w:r>
        <w:t>, 20(2). 129-153.</w:t>
      </w:r>
    </w:p>
    <w:p w14:paraId="4F48B32A" w14:textId="77777777" w:rsidR="00D2643B" w:rsidRDefault="00D2643B" w:rsidP="00901114">
      <w:pPr>
        <w:spacing w:after="60" w:line="480" w:lineRule="auto"/>
        <w:ind w:left="360" w:hanging="360"/>
      </w:pPr>
      <w:r>
        <w:t xml:space="preserve">Ashbaugh, H. and Pincus, M., 2001. Domestic accounting standards, international accounting standards, and the predictability of earnings. </w:t>
      </w:r>
      <w:r>
        <w:rPr>
          <w:i/>
        </w:rPr>
        <w:t>Journ</w:t>
      </w:r>
      <w:r w:rsidR="008B516F">
        <w:rPr>
          <w:i/>
        </w:rPr>
        <w:t>al of accounting re</w:t>
      </w:r>
      <w:r>
        <w:rPr>
          <w:i/>
        </w:rPr>
        <w:t>search</w:t>
      </w:r>
      <w:r>
        <w:t>, 39(3), 417-434.</w:t>
      </w:r>
    </w:p>
    <w:p w14:paraId="330E2368" w14:textId="77777777" w:rsidR="00D2643B" w:rsidRPr="007D5ADF" w:rsidRDefault="00D2643B" w:rsidP="00901114">
      <w:pPr>
        <w:pStyle w:val="References"/>
        <w:spacing w:after="60"/>
        <w:ind w:left="450" w:hanging="450"/>
        <w:rPr>
          <w:sz w:val="24"/>
          <w:szCs w:val="24"/>
        </w:rPr>
      </w:pPr>
      <w:r w:rsidRPr="004204A5">
        <w:rPr>
          <w:sz w:val="24"/>
          <w:szCs w:val="24"/>
        </w:rPr>
        <w:t>Ball, R., Kot</w:t>
      </w:r>
      <w:r>
        <w:rPr>
          <w:sz w:val="24"/>
          <w:szCs w:val="24"/>
        </w:rPr>
        <w:t xml:space="preserve">hari, S.P. and Robin, A., 2000. </w:t>
      </w:r>
      <w:r w:rsidRPr="004204A5">
        <w:rPr>
          <w:sz w:val="24"/>
          <w:szCs w:val="24"/>
        </w:rPr>
        <w:t xml:space="preserve">The effect of international institutional factors on properties of </w:t>
      </w:r>
      <w:r>
        <w:rPr>
          <w:sz w:val="24"/>
          <w:szCs w:val="24"/>
        </w:rPr>
        <w:t>accounting earnings.</w:t>
      </w:r>
      <w:r w:rsidRPr="004204A5">
        <w:rPr>
          <w:sz w:val="24"/>
          <w:szCs w:val="24"/>
        </w:rPr>
        <w:t xml:space="preserve"> </w:t>
      </w:r>
      <w:r w:rsidRPr="004204A5">
        <w:rPr>
          <w:i/>
          <w:iCs/>
          <w:sz w:val="24"/>
          <w:szCs w:val="24"/>
        </w:rPr>
        <w:t>Journal o</w:t>
      </w:r>
      <w:r w:rsidR="008B516F" w:rsidRPr="004204A5">
        <w:rPr>
          <w:i/>
          <w:iCs/>
          <w:sz w:val="24"/>
          <w:szCs w:val="24"/>
        </w:rPr>
        <w:t>f accounting and</w:t>
      </w:r>
      <w:r w:rsidR="008B516F" w:rsidRPr="00100E5F">
        <w:rPr>
          <w:i/>
          <w:iCs/>
          <w:sz w:val="24"/>
          <w:szCs w:val="24"/>
        </w:rPr>
        <w:t xml:space="preserve"> ec</w:t>
      </w:r>
      <w:r w:rsidRPr="00100E5F">
        <w:rPr>
          <w:i/>
          <w:iCs/>
          <w:sz w:val="24"/>
          <w:szCs w:val="24"/>
        </w:rPr>
        <w:t>onomics</w:t>
      </w:r>
      <w:r w:rsidRPr="00100E5F">
        <w:rPr>
          <w:sz w:val="24"/>
          <w:szCs w:val="24"/>
        </w:rPr>
        <w:t xml:space="preserve">, </w:t>
      </w:r>
      <w:r>
        <w:rPr>
          <w:sz w:val="24"/>
          <w:szCs w:val="24"/>
        </w:rPr>
        <w:t>29(1), 1-51.</w:t>
      </w:r>
    </w:p>
    <w:p w14:paraId="40711BC2" w14:textId="77777777" w:rsidR="00D2643B" w:rsidRDefault="00D2643B" w:rsidP="00901114">
      <w:pPr>
        <w:spacing w:after="60" w:line="480" w:lineRule="auto"/>
        <w:ind w:left="360" w:hanging="360"/>
      </w:pPr>
      <w:r>
        <w:t xml:space="preserve">Ball, R., 2006. International Financial Reporting Standards (IFRS): pros and cons for investors. </w:t>
      </w:r>
      <w:r>
        <w:rPr>
          <w:i/>
        </w:rPr>
        <w:t>Accounting a</w:t>
      </w:r>
      <w:r w:rsidR="008B516F">
        <w:rPr>
          <w:i/>
        </w:rPr>
        <w:t>nd business rese</w:t>
      </w:r>
      <w:r>
        <w:rPr>
          <w:i/>
        </w:rPr>
        <w:t xml:space="preserve">arch, International </w:t>
      </w:r>
      <w:r w:rsidR="008B516F">
        <w:rPr>
          <w:i/>
        </w:rPr>
        <w:t>a</w:t>
      </w:r>
      <w:r>
        <w:rPr>
          <w:i/>
        </w:rPr>
        <w:t xml:space="preserve">ccounting </w:t>
      </w:r>
      <w:r w:rsidR="008B516F">
        <w:rPr>
          <w:i/>
        </w:rPr>
        <w:t>policy f</w:t>
      </w:r>
      <w:r>
        <w:rPr>
          <w:i/>
        </w:rPr>
        <w:t>orum</w:t>
      </w:r>
      <w:r>
        <w:t>, 5-27.</w:t>
      </w:r>
    </w:p>
    <w:p w14:paraId="4E42A62F" w14:textId="77777777" w:rsidR="00D2643B" w:rsidRDefault="00D2643B" w:rsidP="00901114">
      <w:pPr>
        <w:spacing w:after="60" w:line="480" w:lineRule="auto"/>
        <w:ind w:left="360" w:hanging="360"/>
      </w:pPr>
      <w:r>
        <w:t xml:space="preserve">Barth, M., Landsman, W. and Lang, M., 2008. International accounting standards and accounting quality. </w:t>
      </w:r>
      <w:r>
        <w:rPr>
          <w:i/>
        </w:rPr>
        <w:t xml:space="preserve">Journal </w:t>
      </w:r>
      <w:r w:rsidR="008B516F">
        <w:rPr>
          <w:i/>
        </w:rPr>
        <w:t>of accounting research</w:t>
      </w:r>
      <w:r>
        <w:t>, 46(3), 467-498.</w:t>
      </w:r>
    </w:p>
    <w:p w14:paraId="6DEE4891" w14:textId="77777777" w:rsidR="00D2643B" w:rsidRDefault="00D2643B" w:rsidP="00901114">
      <w:pPr>
        <w:spacing w:after="60" w:line="480" w:lineRule="auto"/>
        <w:ind w:left="360" w:hanging="360"/>
      </w:pPr>
      <w:r>
        <w:lastRenderedPageBreak/>
        <w:t xml:space="preserve">Baskerville, R. and Evans, L., 2011. </w:t>
      </w:r>
      <w:r>
        <w:rPr>
          <w:i/>
          <w:iCs/>
        </w:rPr>
        <w:t>The Darkening Glass:  Issues for Translation of IFRS</w:t>
      </w:r>
      <w:r>
        <w:t xml:space="preserve">. </w:t>
      </w:r>
      <w:r w:rsidR="0090443E">
        <w:t xml:space="preserve">Edinburgh: </w:t>
      </w:r>
      <w:r w:rsidR="008B516F">
        <w:t xml:space="preserve">The </w:t>
      </w:r>
      <w:r>
        <w:t>Institute of Chartered Accountants of Scotland.</w:t>
      </w:r>
    </w:p>
    <w:p w14:paraId="6962C74D" w14:textId="77777777" w:rsidR="00D2643B" w:rsidRPr="00D2643B" w:rsidRDefault="00D2643B" w:rsidP="00901114">
      <w:pPr>
        <w:spacing w:after="60" w:line="480" w:lineRule="auto"/>
        <w:ind w:left="360" w:hanging="360"/>
        <w:rPr>
          <w:lang w:val="nb-NO"/>
        </w:rPr>
      </w:pPr>
      <w:r>
        <w:t xml:space="preserve">BDO, 2012. How IFRS can add value to your information. </w:t>
      </w:r>
      <w:r w:rsidR="000F0496" w:rsidRPr="000F0496">
        <w:rPr>
          <w:lang w:val="nb-NO"/>
        </w:rPr>
        <w:t xml:space="preserve">At </w:t>
      </w:r>
      <w:hyperlink r:id="rId9" w:history="1">
        <w:r w:rsidR="000F0496" w:rsidRPr="000F0496">
          <w:rPr>
            <w:rStyle w:val="Hyperlink"/>
            <w:lang w:val="nb-NO"/>
          </w:rPr>
          <w:t>www.bdo.ca/library/publications/aboriginal/articles/how_IFRS_can_add_value.cfm</w:t>
        </w:r>
      </w:hyperlink>
    </w:p>
    <w:p w14:paraId="0D84D315" w14:textId="77777777" w:rsidR="00D2643B" w:rsidRDefault="00D2643B" w:rsidP="00901114">
      <w:pPr>
        <w:spacing w:after="60" w:line="480" w:lineRule="auto"/>
        <w:ind w:left="360" w:hanging="360"/>
      </w:pPr>
      <w:r>
        <w:t xml:space="preserve">Benzacar, K., 2008. IFRS – the next accounting revolution. </w:t>
      </w:r>
      <w:r w:rsidRPr="00DE4A00">
        <w:rPr>
          <w:i/>
        </w:rPr>
        <w:t>CMA Management</w:t>
      </w:r>
      <w:r>
        <w:t>, June/July, 26-30.</w:t>
      </w:r>
    </w:p>
    <w:p w14:paraId="3BA274A4" w14:textId="77777777" w:rsidR="00D2643B" w:rsidRDefault="00D2643B" w:rsidP="00901114">
      <w:pPr>
        <w:spacing w:after="60" w:line="480" w:lineRule="auto"/>
        <w:ind w:left="360" w:hanging="360"/>
      </w:pPr>
      <w:r>
        <w:t xml:space="preserve">Berger, A., 2010. The development and status of enforcement in the European Union. </w:t>
      </w:r>
      <w:r>
        <w:rPr>
          <w:i/>
        </w:rPr>
        <w:t>Accounting in Europe</w:t>
      </w:r>
      <w:r>
        <w:t>, 7(1), 15-35.</w:t>
      </w:r>
    </w:p>
    <w:p w14:paraId="62619144" w14:textId="77777777" w:rsidR="00D2643B" w:rsidRDefault="00D2643B" w:rsidP="00901114">
      <w:pPr>
        <w:spacing w:after="60" w:line="480" w:lineRule="auto"/>
        <w:ind w:left="360" w:hanging="360"/>
      </w:pPr>
      <w:r>
        <w:t xml:space="preserve">Bond, D., Bugeja, M. and Czernkowski, R., 2012. Did Australian firms choose to switch to reporting operating cash flows using the indirect method?. </w:t>
      </w:r>
      <w:r>
        <w:rPr>
          <w:i/>
        </w:rPr>
        <w:t>Australia</w:t>
      </w:r>
      <w:r w:rsidR="008B516F">
        <w:rPr>
          <w:i/>
        </w:rPr>
        <w:t>n accounting revi</w:t>
      </w:r>
      <w:r>
        <w:rPr>
          <w:i/>
        </w:rPr>
        <w:t>ew</w:t>
      </w:r>
      <w:r>
        <w:t>, 22(1), 18-24.</w:t>
      </w:r>
    </w:p>
    <w:p w14:paraId="540EC7CD" w14:textId="77777777" w:rsidR="00D2643B" w:rsidRDefault="00D2643B" w:rsidP="00901114">
      <w:pPr>
        <w:spacing w:after="60" w:line="480" w:lineRule="auto"/>
        <w:ind w:left="360" w:hanging="360"/>
      </w:pPr>
      <w:r>
        <w:t xml:space="preserve">Brown, P. and Tarca, A., 2005. A commentary on issues relating to the enforcement of international financial reporting standards in the EU. </w:t>
      </w:r>
      <w:r>
        <w:rPr>
          <w:i/>
        </w:rPr>
        <w:t xml:space="preserve">European </w:t>
      </w:r>
      <w:r w:rsidR="008B516F">
        <w:rPr>
          <w:i/>
        </w:rPr>
        <w:t>accounting r</w:t>
      </w:r>
      <w:r>
        <w:rPr>
          <w:i/>
        </w:rPr>
        <w:t>eview</w:t>
      </w:r>
      <w:r>
        <w:t>, 14(1), 181-212.</w:t>
      </w:r>
    </w:p>
    <w:p w14:paraId="5613E51A" w14:textId="77777777" w:rsidR="00D2643B" w:rsidRDefault="00D2643B" w:rsidP="00901114">
      <w:pPr>
        <w:spacing w:after="60" w:line="480" w:lineRule="auto"/>
        <w:ind w:left="360" w:hanging="360"/>
      </w:pPr>
      <w:r>
        <w:t xml:space="preserve">Burlaud, A. and Colasse, B. 2011. International accounting standardisation: is politics back? </w:t>
      </w:r>
      <w:r w:rsidRPr="008C07F6">
        <w:rPr>
          <w:i/>
        </w:rPr>
        <w:t>Accounting in Europe</w:t>
      </w:r>
      <w:r>
        <w:t>, 8(1), 23-47.</w:t>
      </w:r>
    </w:p>
    <w:p w14:paraId="54490A49" w14:textId="77777777" w:rsidR="00D2643B" w:rsidRDefault="00D2643B" w:rsidP="00901114">
      <w:pPr>
        <w:spacing w:after="60" w:line="480" w:lineRule="auto"/>
        <w:ind w:left="360" w:right="29" w:hanging="360"/>
      </w:pPr>
      <w:r>
        <w:t xml:space="preserve">Cairns, D., 1997. The future shape of harmonization: a reply. </w:t>
      </w:r>
      <w:r>
        <w:rPr>
          <w:i/>
        </w:rPr>
        <w:t>Europ</w:t>
      </w:r>
      <w:r w:rsidR="008B516F">
        <w:rPr>
          <w:i/>
        </w:rPr>
        <w:t>ean accounting re</w:t>
      </w:r>
      <w:r>
        <w:rPr>
          <w:i/>
        </w:rPr>
        <w:t>view</w:t>
      </w:r>
      <w:r>
        <w:t>, 6(2), 305-348.</w:t>
      </w:r>
    </w:p>
    <w:p w14:paraId="111C6552" w14:textId="77777777" w:rsidR="00D2643B" w:rsidRDefault="00D2643B" w:rsidP="000B6B4D">
      <w:pPr>
        <w:spacing w:after="60" w:line="480" w:lineRule="auto"/>
        <w:ind w:left="360" w:hanging="360"/>
      </w:pPr>
      <w:r>
        <w:t xml:space="preserve">Cairns, D., Massoudi, D. Taplin, R. and Tarca, A., 2011. IFRS fair value measurement and accounting policy choice in the United Kingdom and Australia. </w:t>
      </w:r>
      <w:r w:rsidRPr="000B6B4D">
        <w:rPr>
          <w:i/>
        </w:rPr>
        <w:t xml:space="preserve">British </w:t>
      </w:r>
      <w:r w:rsidR="008B516F">
        <w:rPr>
          <w:i/>
        </w:rPr>
        <w:t>accounting re</w:t>
      </w:r>
      <w:r>
        <w:rPr>
          <w:i/>
        </w:rPr>
        <w:t>view</w:t>
      </w:r>
      <w:r>
        <w:t>, 43(1), 1-21.</w:t>
      </w:r>
    </w:p>
    <w:p w14:paraId="0967A341" w14:textId="77777777" w:rsidR="00D2643B" w:rsidRDefault="00D2643B" w:rsidP="000B6B4D">
      <w:pPr>
        <w:spacing w:after="60" w:line="480" w:lineRule="auto"/>
        <w:ind w:left="360" w:hanging="360"/>
      </w:pPr>
      <w:r>
        <w:t xml:space="preserve">Camfferman, K. and Zeff, S. A., 2006.  </w:t>
      </w:r>
      <w:r w:rsidRPr="008C07F6">
        <w:rPr>
          <w:i/>
        </w:rPr>
        <w:t>Financial Reporting and Global Capital Markets</w:t>
      </w:r>
      <w:r>
        <w:t>, Oxford: Oxford University Press.</w:t>
      </w:r>
    </w:p>
    <w:p w14:paraId="67EEAB62" w14:textId="77777777" w:rsidR="00D2643B" w:rsidRDefault="00D2643B" w:rsidP="008C16B0">
      <w:pPr>
        <w:spacing w:after="60" w:line="480" w:lineRule="auto"/>
        <w:ind w:left="360" w:hanging="360"/>
      </w:pPr>
      <w:r w:rsidRPr="002571A2">
        <w:lastRenderedPageBreak/>
        <w:t>Christensen, H.B., Lee, E. and Walker, M.</w:t>
      </w:r>
      <w:r>
        <w:t>, 2007.</w:t>
      </w:r>
      <w:r w:rsidRPr="002571A2">
        <w:t xml:space="preserve"> Cross-sectional variation in the economic consequences of international accounting harmonization: the case of mandatory IFRS adoption in</w:t>
      </w:r>
      <w:r>
        <w:t xml:space="preserve"> the UK. </w:t>
      </w:r>
      <w:r>
        <w:rPr>
          <w:i/>
        </w:rPr>
        <w:t>Internationa</w:t>
      </w:r>
      <w:r w:rsidR="008B516F">
        <w:rPr>
          <w:i/>
        </w:rPr>
        <w:t>l journal of a</w:t>
      </w:r>
      <w:r>
        <w:rPr>
          <w:i/>
        </w:rPr>
        <w:t>ccounting</w:t>
      </w:r>
      <w:r>
        <w:t>, 42(4), 341-379.</w:t>
      </w:r>
    </w:p>
    <w:p w14:paraId="4A31C656" w14:textId="77777777" w:rsidR="00D2643B" w:rsidRDefault="00D2643B" w:rsidP="008C16B0">
      <w:pPr>
        <w:spacing w:after="60" w:line="480" w:lineRule="auto"/>
        <w:ind w:left="360" w:hanging="360"/>
      </w:pPr>
      <w:r>
        <w:t>Cole, V., Branson, J. and Breesch, D., 2011. Determinants influencing the de facto comparability of European IFRS financial statements: SSRN.</w:t>
      </w:r>
    </w:p>
    <w:p w14:paraId="7292B51E" w14:textId="77777777" w:rsidR="00D2643B" w:rsidRDefault="00D2643B" w:rsidP="008C16B0">
      <w:pPr>
        <w:spacing w:after="60" w:line="480" w:lineRule="auto"/>
        <w:ind w:left="360" w:hanging="360"/>
      </w:pPr>
      <w:r>
        <w:t xml:space="preserve">Cuijpers, R. and Buijink, W., 2005. Voluntary adoption of non-local GAAP in the European Union:  a study of determinants and consequences. </w:t>
      </w:r>
      <w:r>
        <w:rPr>
          <w:i/>
        </w:rPr>
        <w:t>Europ</w:t>
      </w:r>
      <w:r w:rsidR="008B516F">
        <w:rPr>
          <w:i/>
        </w:rPr>
        <w:t>ean accounting re</w:t>
      </w:r>
      <w:r>
        <w:rPr>
          <w:i/>
        </w:rPr>
        <w:t>view</w:t>
      </w:r>
      <w:r>
        <w:t>, 14(3), 487-524.</w:t>
      </w:r>
    </w:p>
    <w:p w14:paraId="013B44FA" w14:textId="77777777" w:rsidR="00D2643B" w:rsidRDefault="00D2643B" w:rsidP="00482BE1">
      <w:pPr>
        <w:spacing w:after="60" w:line="480" w:lineRule="auto"/>
        <w:ind w:left="360" w:hanging="360"/>
      </w:pPr>
      <w:r>
        <w:t xml:space="preserve">da Costa, R.C., Bourgeois, J.C. and Lawson, W.M., 1978. A classification of international financial accounting practices. </w:t>
      </w:r>
      <w:r>
        <w:rPr>
          <w:i/>
        </w:rPr>
        <w:t>Intern</w:t>
      </w:r>
      <w:r w:rsidR="008B516F">
        <w:rPr>
          <w:i/>
        </w:rPr>
        <w:t>ational journal of acc</w:t>
      </w:r>
      <w:r>
        <w:rPr>
          <w:i/>
        </w:rPr>
        <w:t>ounting</w:t>
      </w:r>
      <w:r>
        <w:t>, 13(2), 73-85.</w:t>
      </w:r>
    </w:p>
    <w:p w14:paraId="59D1CEB6" w14:textId="77777777" w:rsidR="00D2643B" w:rsidRDefault="00D2643B" w:rsidP="00482BE1">
      <w:pPr>
        <w:spacing w:after="60" w:line="480" w:lineRule="auto"/>
        <w:ind w:left="360" w:hanging="360"/>
      </w:pPr>
      <w:r>
        <w:t xml:space="preserve">Dahlgren, J. and Nilsson, S.-A., 2012. Can translations achieve comparability? The case of translating IFRSs into Swedish. </w:t>
      </w:r>
      <w:r w:rsidRPr="008C07F6">
        <w:rPr>
          <w:i/>
        </w:rPr>
        <w:t>Accounting in Europe</w:t>
      </w:r>
      <w:r w:rsidRPr="008C07F6">
        <w:t>,</w:t>
      </w:r>
      <w:r>
        <w:t xml:space="preserve"> 9 (1), 39-59.</w:t>
      </w:r>
    </w:p>
    <w:p w14:paraId="60F3F62E" w14:textId="77777777" w:rsidR="00D2643B" w:rsidRDefault="00D2643B" w:rsidP="00482BE1">
      <w:pPr>
        <w:spacing w:after="60" w:line="480" w:lineRule="auto"/>
        <w:ind w:left="360" w:hanging="360"/>
      </w:pPr>
      <w:r>
        <w:t xml:space="preserve">Danjou, P. and Walton, P. 2012, The legitimacy of the IASB. </w:t>
      </w:r>
      <w:r w:rsidRPr="00702939">
        <w:rPr>
          <w:i/>
        </w:rPr>
        <w:t>Accounting in Europe</w:t>
      </w:r>
      <w:r w:rsidRPr="00702939">
        <w:t>,</w:t>
      </w:r>
      <w:r>
        <w:t xml:space="preserve"> 9 (1), 1-15.</w:t>
      </w:r>
    </w:p>
    <w:p w14:paraId="0A3834C1" w14:textId="77777777" w:rsidR="00D2643B" w:rsidRPr="00482BE1" w:rsidRDefault="00D2643B" w:rsidP="00482BE1">
      <w:pPr>
        <w:pStyle w:val="References"/>
        <w:spacing w:after="60"/>
        <w:ind w:left="360" w:hanging="360"/>
        <w:rPr>
          <w:sz w:val="24"/>
          <w:szCs w:val="24"/>
        </w:rPr>
      </w:pPr>
      <w:r>
        <w:rPr>
          <w:sz w:val="24"/>
          <w:szCs w:val="24"/>
          <w:lang w:val="en-GB"/>
        </w:rPr>
        <w:t>d</w:t>
      </w:r>
      <w:r w:rsidRPr="004C37B6">
        <w:rPr>
          <w:sz w:val="24"/>
          <w:szCs w:val="24"/>
        </w:rPr>
        <w:t>’Arcy, A.</w:t>
      </w:r>
      <w:r>
        <w:rPr>
          <w:sz w:val="24"/>
          <w:szCs w:val="24"/>
        </w:rPr>
        <w:t>,</w:t>
      </w:r>
      <w:r w:rsidRPr="004C37B6">
        <w:rPr>
          <w:sz w:val="24"/>
          <w:szCs w:val="24"/>
        </w:rPr>
        <w:t xml:space="preserve"> 2001</w:t>
      </w:r>
      <w:r>
        <w:rPr>
          <w:sz w:val="24"/>
          <w:szCs w:val="24"/>
        </w:rPr>
        <w:t>.</w:t>
      </w:r>
      <w:r w:rsidRPr="004C37B6">
        <w:rPr>
          <w:sz w:val="24"/>
          <w:szCs w:val="24"/>
        </w:rPr>
        <w:t xml:space="preserve"> Accounting classification and the international harmonisation debate – an empirical investigation</w:t>
      </w:r>
      <w:r>
        <w:rPr>
          <w:sz w:val="24"/>
          <w:szCs w:val="24"/>
        </w:rPr>
        <w:t>.</w:t>
      </w:r>
      <w:r w:rsidRPr="004C37B6">
        <w:rPr>
          <w:sz w:val="24"/>
          <w:szCs w:val="24"/>
        </w:rPr>
        <w:t xml:space="preserve"> </w:t>
      </w:r>
      <w:r w:rsidRPr="004C37B6">
        <w:rPr>
          <w:i/>
          <w:iCs/>
          <w:sz w:val="24"/>
          <w:szCs w:val="24"/>
        </w:rPr>
        <w:t>Accou</w:t>
      </w:r>
      <w:r w:rsidR="008B516F" w:rsidRPr="004C37B6">
        <w:rPr>
          <w:i/>
          <w:iCs/>
          <w:sz w:val="24"/>
          <w:szCs w:val="24"/>
        </w:rPr>
        <w:t>nting, organizations and so</w:t>
      </w:r>
      <w:r w:rsidRPr="004C37B6">
        <w:rPr>
          <w:i/>
          <w:iCs/>
          <w:sz w:val="24"/>
          <w:szCs w:val="24"/>
        </w:rPr>
        <w:t>ciety</w:t>
      </w:r>
      <w:r w:rsidRPr="004C37B6">
        <w:rPr>
          <w:sz w:val="24"/>
          <w:szCs w:val="24"/>
        </w:rPr>
        <w:t>, 26</w:t>
      </w:r>
      <w:r>
        <w:rPr>
          <w:sz w:val="24"/>
          <w:szCs w:val="24"/>
        </w:rPr>
        <w:t>(4), 327-349.</w:t>
      </w:r>
    </w:p>
    <w:p w14:paraId="294C9520" w14:textId="77777777" w:rsidR="00D2643B" w:rsidRDefault="00D2643B" w:rsidP="00482BE1">
      <w:pPr>
        <w:spacing w:after="60" w:line="480" w:lineRule="auto"/>
        <w:ind w:left="360" w:hanging="360"/>
      </w:pPr>
      <w:r>
        <w:t xml:space="preserve">Doupnik, T.S. and Salter, S.B., 1993. An empirical test of a judgemental international classification of financial reporting practices. </w:t>
      </w:r>
      <w:r>
        <w:rPr>
          <w:i/>
        </w:rPr>
        <w:t>Journal of</w:t>
      </w:r>
      <w:r w:rsidR="008B516F">
        <w:rPr>
          <w:i/>
        </w:rPr>
        <w:t xml:space="preserve"> international business st</w:t>
      </w:r>
      <w:r>
        <w:rPr>
          <w:i/>
        </w:rPr>
        <w:t>udies</w:t>
      </w:r>
      <w:r>
        <w:t>, 24(1), 41-60.</w:t>
      </w:r>
    </w:p>
    <w:p w14:paraId="7A01AB43" w14:textId="77777777" w:rsidR="00D2643B" w:rsidRDefault="00D2643B" w:rsidP="00CA0FF3">
      <w:pPr>
        <w:spacing w:after="60" w:line="480" w:lineRule="auto"/>
        <w:ind w:left="360" w:hanging="360"/>
      </w:pPr>
      <w:r>
        <w:t xml:space="preserve">European </w:t>
      </w:r>
      <w:r w:rsidRPr="002F4BB4">
        <w:t>Commission</w:t>
      </w:r>
      <w:r>
        <w:t xml:space="preserve">, </w:t>
      </w:r>
      <w:r w:rsidRPr="002F4BB4">
        <w:t>2008</w:t>
      </w:r>
      <w:r>
        <w:t xml:space="preserve">. </w:t>
      </w:r>
      <w:r>
        <w:rPr>
          <w:i/>
        </w:rPr>
        <w:t>Evaluation of the Application of IFRS in the 2006 Financial Statements of EU Companies</w:t>
      </w:r>
      <w:r>
        <w:t>, at</w:t>
      </w:r>
      <w:r w:rsidRPr="00524A17">
        <w:t xml:space="preserve"> </w:t>
      </w:r>
      <w:hyperlink r:id="rId10" w:history="1">
        <w:r w:rsidRPr="00CC4843">
          <w:rPr>
            <w:rStyle w:val="Hyperlink"/>
          </w:rPr>
          <w:t>http://ec.europa.eu/internal_market/accounting/docs/studies/2009-report_en.pdf</w:t>
        </w:r>
      </w:hyperlink>
    </w:p>
    <w:p w14:paraId="2D1423D9" w14:textId="77777777" w:rsidR="00D2643B" w:rsidRDefault="00D2643B" w:rsidP="00CA0FF3">
      <w:pPr>
        <w:spacing w:after="60" w:line="480" w:lineRule="auto"/>
        <w:ind w:left="360" w:hanging="360"/>
      </w:pPr>
      <w:r>
        <w:lastRenderedPageBreak/>
        <w:t xml:space="preserve">Evans, L. 2004. Language translation and the problem of international communication. </w:t>
      </w:r>
      <w:r>
        <w:rPr>
          <w:i/>
        </w:rPr>
        <w:t>Account</w:t>
      </w:r>
      <w:r w:rsidR="008B516F">
        <w:rPr>
          <w:i/>
        </w:rPr>
        <w:t>ing, auditing &amp; accountability jo</w:t>
      </w:r>
      <w:r>
        <w:rPr>
          <w:i/>
        </w:rPr>
        <w:t>urnal</w:t>
      </w:r>
      <w:r>
        <w:t>, 17(2), 210-48.</w:t>
      </w:r>
    </w:p>
    <w:p w14:paraId="78B01512" w14:textId="77777777" w:rsidR="00D2643B" w:rsidRDefault="00D2643B" w:rsidP="00CA0FF3">
      <w:pPr>
        <w:spacing w:after="60" w:line="480" w:lineRule="auto"/>
        <w:ind w:left="360" w:hanging="360"/>
      </w:pPr>
      <w:r>
        <w:t xml:space="preserve">Fasshauer, J.D., Glaum, M. and Street, D.L., 2008.  </w:t>
      </w:r>
      <w:r w:rsidRPr="008943D4">
        <w:rPr>
          <w:i/>
        </w:rPr>
        <w:t>Adoption of IAS 19 by Europe’s</w:t>
      </w:r>
      <w:r w:rsidRPr="001D2A43">
        <w:rPr>
          <w:i/>
        </w:rPr>
        <w:t xml:space="preserve"> Premier Listed Companies</w:t>
      </w:r>
      <w:r w:rsidRPr="001D2A43">
        <w:t xml:space="preserve">, </w:t>
      </w:r>
      <w:r>
        <w:t>ACCA Research Report No. 100, London: Association of Chartered Certified Accountants.</w:t>
      </w:r>
    </w:p>
    <w:p w14:paraId="16253A32" w14:textId="77777777" w:rsidR="00D2643B" w:rsidRDefault="00D2643B" w:rsidP="00CA0FF3">
      <w:pPr>
        <w:spacing w:after="60" w:line="480" w:lineRule="auto"/>
        <w:ind w:left="360" w:hanging="360"/>
      </w:pPr>
      <w:r>
        <w:t xml:space="preserve">Francis, J.R., Khurana, I.K., Martin, X. and Pereira, R., 2008. The role of firm-specific incentives and country factors in explaining voluntary IAS adoptions: evidence from private firms. </w:t>
      </w:r>
      <w:r>
        <w:rPr>
          <w:i/>
        </w:rPr>
        <w:t>Europe</w:t>
      </w:r>
      <w:r w:rsidR="008B516F">
        <w:rPr>
          <w:i/>
        </w:rPr>
        <w:t>an accounting rev</w:t>
      </w:r>
      <w:r>
        <w:rPr>
          <w:i/>
        </w:rPr>
        <w:t>iew</w:t>
      </w:r>
      <w:r>
        <w:t>, 17(2), 331-360.</w:t>
      </w:r>
    </w:p>
    <w:p w14:paraId="2D363DF2" w14:textId="77777777" w:rsidR="00D2643B" w:rsidRDefault="00D2643B" w:rsidP="00CA0FF3">
      <w:pPr>
        <w:spacing w:after="60" w:line="480" w:lineRule="auto"/>
        <w:ind w:left="360" w:hanging="360"/>
      </w:pPr>
      <w:r>
        <w:t xml:space="preserve">Frank, W.G., 1979. An empirical analysis of international accounting principles. </w:t>
      </w:r>
      <w:r w:rsidRPr="004204A5">
        <w:rPr>
          <w:i/>
        </w:rPr>
        <w:t xml:space="preserve">Journal </w:t>
      </w:r>
      <w:r w:rsidR="008B516F" w:rsidRPr="004204A5">
        <w:rPr>
          <w:i/>
        </w:rPr>
        <w:t>of accounting re</w:t>
      </w:r>
      <w:r w:rsidRPr="004204A5">
        <w:rPr>
          <w:i/>
        </w:rPr>
        <w:t>search</w:t>
      </w:r>
      <w:r>
        <w:t>, 17(2), 593-605.</w:t>
      </w:r>
    </w:p>
    <w:p w14:paraId="14F34615" w14:textId="77777777" w:rsidR="00D2643B" w:rsidRDefault="00D2643B" w:rsidP="00812566">
      <w:pPr>
        <w:spacing w:line="480" w:lineRule="auto"/>
        <w:ind w:left="360" w:hanging="360"/>
      </w:pPr>
      <w:r>
        <w:t xml:space="preserve">Gassen, J. and Sellhorn, T., 2006. Applying IFRS in Germany – determinants and consequences. </w:t>
      </w:r>
      <w:r>
        <w:rPr>
          <w:i/>
        </w:rPr>
        <w:t>Betriebswirtshaftliche Forschung und Praxis</w:t>
      </w:r>
      <w:r>
        <w:t>, 58(4), 365-386.</w:t>
      </w:r>
      <w:r w:rsidRPr="00812566">
        <w:t xml:space="preserve"> </w:t>
      </w:r>
    </w:p>
    <w:p w14:paraId="53D44CF3" w14:textId="77777777" w:rsidR="00D2643B" w:rsidRDefault="00D2643B" w:rsidP="00021844">
      <w:pPr>
        <w:spacing w:line="480" w:lineRule="auto"/>
        <w:ind w:left="360" w:hanging="360"/>
      </w:pPr>
      <w:r>
        <w:t xml:space="preserve">Gee, M., Haller, A. and Nobes, C., 2010. The influence of tax on IFRS consolidated statements:  the convergence of Germany and the UK.  </w:t>
      </w:r>
      <w:r w:rsidRPr="00C4783D">
        <w:rPr>
          <w:i/>
        </w:rPr>
        <w:t>Accounting in Europe</w:t>
      </w:r>
      <w:r w:rsidR="006C3DAA">
        <w:t>, 7(1)</w:t>
      </w:r>
      <w:r>
        <w:t>, 97-122.</w:t>
      </w:r>
    </w:p>
    <w:p w14:paraId="1298DE65" w14:textId="77777777" w:rsidR="00D2643B" w:rsidRDefault="00D2643B" w:rsidP="00CA0FF3">
      <w:pPr>
        <w:spacing w:after="60" w:line="480" w:lineRule="auto"/>
        <w:ind w:left="360" w:hanging="360"/>
      </w:pPr>
      <w:r>
        <w:t xml:space="preserve">Glaum, M. and Street, D.L., 2003. Compliance with the disclosure requirements of Germany’s new market: IAS versus US GAAP. </w:t>
      </w:r>
      <w:r>
        <w:rPr>
          <w:i/>
        </w:rPr>
        <w:t>Journal of</w:t>
      </w:r>
      <w:r w:rsidR="008B516F">
        <w:rPr>
          <w:i/>
        </w:rPr>
        <w:t xml:space="preserve"> international financial management and accoun</w:t>
      </w:r>
      <w:r>
        <w:rPr>
          <w:i/>
        </w:rPr>
        <w:t>ting</w:t>
      </w:r>
      <w:r>
        <w:t>, 14(1), 64-100.</w:t>
      </w:r>
    </w:p>
    <w:p w14:paraId="0D98938C" w14:textId="77777777" w:rsidR="00D2643B" w:rsidRDefault="00D2643B" w:rsidP="00CA0FF3">
      <w:pPr>
        <w:spacing w:after="60" w:line="480" w:lineRule="auto"/>
        <w:ind w:left="360" w:hanging="360"/>
      </w:pPr>
      <w:r>
        <w:t>Glaum, M. Schmidt, P.</w:t>
      </w:r>
      <w:r w:rsidR="00751551">
        <w:t>, Street, D. and Vogel, S., 2013</w:t>
      </w:r>
      <w:r>
        <w:t xml:space="preserve">. Compliance with </w:t>
      </w:r>
      <w:r w:rsidR="00751551">
        <w:t xml:space="preserve">IFRS 3- and IAS 36-related required </w:t>
      </w:r>
      <w:r>
        <w:t>disclosures across 17 Eu</w:t>
      </w:r>
      <w:r w:rsidR="00751551">
        <w:t xml:space="preserve">ropean countries: company- </w:t>
      </w:r>
      <w:r>
        <w:t xml:space="preserve">and country-level determinants. </w:t>
      </w:r>
      <w:r>
        <w:rPr>
          <w:i/>
        </w:rPr>
        <w:t>Accounting and</w:t>
      </w:r>
      <w:r w:rsidR="008B516F">
        <w:rPr>
          <w:i/>
        </w:rPr>
        <w:t xml:space="preserve"> business res</w:t>
      </w:r>
      <w:r>
        <w:rPr>
          <w:i/>
        </w:rPr>
        <w:t>earch</w:t>
      </w:r>
      <w:r w:rsidRPr="008C07F6">
        <w:t>, forthcoming</w:t>
      </w:r>
      <w:r>
        <w:rPr>
          <w:i/>
        </w:rPr>
        <w:t>.</w:t>
      </w:r>
    </w:p>
    <w:p w14:paraId="316126F2" w14:textId="77777777" w:rsidR="00D2643B" w:rsidRDefault="00D2643B" w:rsidP="00CA0FF3">
      <w:pPr>
        <w:spacing w:after="60" w:line="480" w:lineRule="auto"/>
        <w:ind w:left="360" w:hanging="360"/>
      </w:pPr>
      <w:r>
        <w:t xml:space="preserve">Goncharov, I., Werner, J.R. and Zimmerman, J., 2009. Legislative demands and economic realities: company and group accounts compared. </w:t>
      </w:r>
      <w:r w:rsidRPr="000B6B4D">
        <w:rPr>
          <w:i/>
        </w:rPr>
        <w:t>Internat</w:t>
      </w:r>
      <w:r w:rsidR="008B516F" w:rsidRPr="000B6B4D">
        <w:rPr>
          <w:i/>
        </w:rPr>
        <w:t>ional journal of accoun</w:t>
      </w:r>
      <w:r w:rsidRPr="000B6B4D">
        <w:rPr>
          <w:i/>
        </w:rPr>
        <w:t>ting</w:t>
      </w:r>
      <w:r>
        <w:t>, 44(4), 334-362.</w:t>
      </w:r>
    </w:p>
    <w:p w14:paraId="771FD785" w14:textId="77777777" w:rsidR="00D2643B" w:rsidRDefault="00D2643B" w:rsidP="00CA0FF3">
      <w:pPr>
        <w:spacing w:after="60" w:line="480" w:lineRule="auto"/>
        <w:ind w:left="360" w:hanging="360"/>
      </w:pPr>
      <w:r>
        <w:lastRenderedPageBreak/>
        <w:t>Haller, A. and Wehrfritz, M., 2012. National versions of  IFRS practice – accounting policy choice in Germany and the UK. Paper presented at the European Accounting Association Conference, Ljubljana.</w:t>
      </w:r>
    </w:p>
    <w:p w14:paraId="1B9BFFB5" w14:textId="77777777" w:rsidR="00D2643B" w:rsidRDefault="00D2643B" w:rsidP="0022189B">
      <w:pPr>
        <w:spacing w:after="60" w:line="480" w:lineRule="auto"/>
        <w:ind w:left="360" w:hanging="360"/>
      </w:pPr>
      <w:r>
        <w:t>Hatfield, H.R., 1911. Published 1966, Some variations in</w:t>
      </w:r>
      <w:r w:rsidR="00751551">
        <w:t xml:space="preserve"> accounting practice</w:t>
      </w:r>
      <w:r>
        <w:t xml:space="preserve"> in Eng</w:t>
      </w:r>
      <w:r w:rsidR="00751551">
        <w:t>land, France, Germany and the United States</w:t>
      </w:r>
      <w:r>
        <w:t xml:space="preserve">. </w:t>
      </w:r>
      <w:r>
        <w:rPr>
          <w:i/>
        </w:rPr>
        <w:t>Journ</w:t>
      </w:r>
      <w:r w:rsidR="008B516F">
        <w:rPr>
          <w:i/>
        </w:rPr>
        <w:t>al of accounting re</w:t>
      </w:r>
      <w:r>
        <w:rPr>
          <w:i/>
        </w:rPr>
        <w:t>search</w:t>
      </w:r>
      <w:r>
        <w:t>, 4(2), 169-182.</w:t>
      </w:r>
    </w:p>
    <w:p w14:paraId="4AAD75EE" w14:textId="77777777" w:rsidR="00D2643B" w:rsidRDefault="00D2643B" w:rsidP="0022189B">
      <w:pPr>
        <w:spacing w:after="60" w:line="480" w:lineRule="auto"/>
        <w:ind w:left="360" w:hanging="360"/>
      </w:pPr>
      <w:r>
        <w:t xml:space="preserve">Hitz, J.-M., Ernstberger, J. and Stich, M., 2012. Enforcement of accounting standards in Europe: capital-market-based evidence for the two-tier mechanism in Germany. </w:t>
      </w:r>
      <w:r w:rsidRPr="00EC7199">
        <w:rPr>
          <w:i/>
        </w:rPr>
        <w:t>European</w:t>
      </w:r>
      <w:r w:rsidR="008B516F" w:rsidRPr="00EC7199">
        <w:rPr>
          <w:i/>
        </w:rPr>
        <w:t xml:space="preserve"> accounting re</w:t>
      </w:r>
      <w:r w:rsidRPr="00EC7199">
        <w:rPr>
          <w:i/>
        </w:rPr>
        <w:t>view</w:t>
      </w:r>
      <w:r>
        <w:t>, 21(2), 253-281.</w:t>
      </w:r>
    </w:p>
    <w:p w14:paraId="7B92079F" w14:textId="77777777" w:rsidR="00D2643B" w:rsidRDefault="00D2643B" w:rsidP="008C16B0">
      <w:pPr>
        <w:spacing w:after="60" w:line="480" w:lineRule="auto"/>
        <w:ind w:left="360" w:hanging="360"/>
      </w:pPr>
      <w:r>
        <w:t xml:space="preserve">Hoogendoorn, M., 2006. International accounting regulation and IFRS implementation in Europe and beyond – experiences with first-time adoption in Europe. </w:t>
      </w:r>
      <w:r>
        <w:rPr>
          <w:i/>
        </w:rPr>
        <w:t>Accounting in Europe</w:t>
      </w:r>
      <w:r>
        <w:t>, 3, 23-26.</w:t>
      </w:r>
    </w:p>
    <w:p w14:paraId="2C3B48A3" w14:textId="77777777" w:rsidR="00D2643B" w:rsidRDefault="00D2643B" w:rsidP="008C16B0">
      <w:pPr>
        <w:spacing w:after="60" w:line="480" w:lineRule="auto"/>
        <w:ind w:left="360" w:hanging="360"/>
      </w:pPr>
      <w:r>
        <w:t xml:space="preserve">IASB, 2010. </w:t>
      </w:r>
      <w:r>
        <w:rPr>
          <w:i/>
        </w:rPr>
        <w:t>Conceptual Framework for Financial Reporting</w:t>
      </w:r>
      <w:r>
        <w:t>. London: International Accounting Standards Board.</w:t>
      </w:r>
    </w:p>
    <w:p w14:paraId="795E6203" w14:textId="77777777" w:rsidR="00D2643B" w:rsidRPr="00723160" w:rsidRDefault="00D2643B" w:rsidP="008C16B0">
      <w:pPr>
        <w:spacing w:after="60" w:line="480" w:lineRule="auto"/>
        <w:ind w:left="360" w:hanging="360"/>
      </w:pPr>
      <w:r>
        <w:t xml:space="preserve">IASB, 2012. </w:t>
      </w:r>
      <w:r w:rsidRPr="00CE3527">
        <w:rPr>
          <w:i/>
        </w:rPr>
        <w:t>IFRSs as the Global Standards: Setting a Strategy for the Foundation’s Second Decade</w:t>
      </w:r>
      <w:r>
        <w:t>. London: International Accounting Standards Board.</w:t>
      </w:r>
    </w:p>
    <w:p w14:paraId="34E31443" w14:textId="77777777" w:rsidR="00D2643B" w:rsidRDefault="00D2643B" w:rsidP="008C16B0">
      <w:pPr>
        <w:spacing w:after="60" w:line="480" w:lineRule="auto"/>
        <w:ind w:left="360" w:hanging="360"/>
      </w:pPr>
      <w:r>
        <w:t xml:space="preserve">IASC, 1989. </w:t>
      </w:r>
      <w:r>
        <w:rPr>
          <w:i/>
        </w:rPr>
        <w:t>Framework for the Preparation and Presentation of Financial Statements</w:t>
      </w:r>
      <w:r>
        <w:t>. London: International Accounting Standards Committee.</w:t>
      </w:r>
    </w:p>
    <w:p w14:paraId="068D1BE5" w14:textId="77777777" w:rsidR="00D2643B" w:rsidRDefault="00D2643B" w:rsidP="008C16B0">
      <w:pPr>
        <w:spacing w:after="60" w:line="480" w:lineRule="auto"/>
        <w:ind w:left="360" w:hanging="360"/>
      </w:pPr>
      <w:r>
        <w:t xml:space="preserve">ICAEW, 2007. </w:t>
      </w:r>
      <w:r>
        <w:rPr>
          <w:i/>
        </w:rPr>
        <w:t>EU Implementation of IFRS and the Fair Value Directive</w:t>
      </w:r>
      <w:r>
        <w:t>. London: Institute of Chartered Accountants in England and Wales.</w:t>
      </w:r>
    </w:p>
    <w:p w14:paraId="6E73D397" w14:textId="77777777" w:rsidR="00D2643B" w:rsidRPr="00723160" w:rsidRDefault="00D2643B" w:rsidP="008C16B0">
      <w:pPr>
        <w:spacing w:after="60" w:line="480" w:lineRule="auto"/>
        <w:ind w:left="360" w:hanging="360"/>
      </w:pPr>
      <w:r>
        <w:t xml:space="preserve">Interfacing, 2012. International Financial Reporting Standards. At </w:t>
      </w:r>
      <w:hyperlink r:id="rId11" w:history="1">
        <w:r w:rsidRPr="007812B1">
          <w:rPr>
            <w:rStyle w:val="Hyperlink"/>
          </w:rPr>
          <w:t>www.interfacing.com/ComplianceSOX-ISO-BASEL-Six-Sigma-Risk/IFRS-International-Financial-Reporting-Standards</w:t>
        </w:r>
      </w:hyperlink>
      <w:r>
        <w:t xml:space="preserve"> (accessed 16.5.2012).</w:t>
      </w:r>
    </w:p>
    <w:p w14:paraId="6C8938EB" w14:textId="77777777" w:rsidR="00D2643B" w:rsidRDefault="00D2643B" w:rsidP="008C16B0">
      <w:pPr>
        <w:spacing w:after="60" w:line="480" w:lineRule="auto"/>
        <w:ind w:left="360" w:hanging="360"/>
      </w:pPr>
      <w:r>
        <w:lastRenderedPageBreak/>
        <w:t xml:space="preserve">Jaafar, A. and McLeay, S., 2007. Country effects and sector effects on the harmonization of accounting policy choice. </w:t>
      </w:r>
      <w:r>
        <w:rPr>
          <w:i/>
        </w:rPr>
        <w:t>Abacus</w:t>
      </w:r>
      <w:r>
        <w:t>, 43(2), 156-189.</w:t>
      </w:r>
    </w:p>
    <w:p w14:paraId="67599351" w14:textId="77777777" w:rsidR="00D2643B" w:rsidRDefault="00D2643B" w:rsidP="008C16B0">
      <w:pPr>
        <w:spacing w:after="60" w:line="480" w:lineRule="auto"/>
        <w:ind w:left="360" w:hanging="360"/>
      </w:pPr>
      <w:r>
        <w:t xml:space="preserve">Jermakowicz, E.K., 2004. Effects of adoption of International Financial Reporting Standards in Belgium: the evidence from BEL-20 companies. </w:t>
      </w:r>
      <w:r>
        <w:rPr>
          <w:i/>
        </w:rPr>
        <w:t>Accounting in Europe</w:t>
      </w:r>
      <w:r>
        <w:t>, 1, 51-70.</w:t>
      </w:r>
    </w:p>
    <w:p w14:paraId="727585AE" w14:textId="77777777" w:rsidR="00D2643B" w:rsidRDefault="00D2643B" w:rsidP="009B7DF9">
      <w:pPr>
        <w:spacing w:after="60" w:line="480" w:lineRule="auto"/>
        <w:ind w:left="360" w:hanging="360"/>
      </w:pPr>
      <w:r>
        <w:t xml:space="preserve">KPMG and von Keitz, I., 2006. </w:t>
      </w:r>
      <w:r>
        <w:rPr>
          <w:i/>
        </w:rPr>
        <w:t>The Application of IFRS:  Choices in Practice</w:t>
      </w:r>
      <w:r>
        <w:t xml:space="preserve">. </w:t>
      </w:r>
      <w:r w:rsidRPr="00CD2A61">
        <w:t>London</w:t>
      </w:r>
      <w:r>
        <w:t>: KPMG.</w:t>
      </w:r>
    </w:p>
    <w:p w14:paraId="21965CB3" w14:textId="77777777" w:rsidR="00D2643B" w:rsidRDefault="00D2643B" w:rsidP="008C16B0">
      <w:pPr>
        <w:spacing w:after="60" w:line="480" w:lineRule="auto"/>
        <w:ind w:left="360" w:hanging="360"/>
      </w:pPr>
      <w:r>
        <w:t xml:space="preserve">Krylova, T., 2003. Book review of Enthoven </w:t>
      </w:r>
      <w:r>
        <w:rPr>
          <w:i/>
        </w:rPr>
        <w:t>et al</w:t>
      </w:r>
      <w:r>
        <w:t xml:space="preserve">. (2001), in </w:t>
      </w:r>
      <w:r>
        <w:rPr>
          <w:i/>
        </w:rPr>
        <w:t>Internation</w:t>
      </w:r>
      <w:r w:rsidR="008B516F">
        <w:rPr>
          <w:i/>
        </w:rPr>
        <w:t>al journal of accounting</w:t>
      </w:r>
      <w:r w:rsidR="008B516F">
        <w:t xml:space="preserve">, </w:t>
      </w:r>
      <w:r>
        <w:t>38(3), 389-391.</w:t>
      </w:r>
    </w:p>
    <w:p w14:paraId="206EF581" w14:textId="77777777" w:rsidR="00D2643B" w:rsidRPr="00F2119C" w:rsidRDefault="00D2643B" w:rsidP="008C16B0">
      <w:pPr>
        <w:spacing w:after="60" w:line="480" w:lineRule="auto"/>
        <w:ind w:left="360" w:hanging="360"/>
      </w:pPr>
      <w:r>
        <w:t>Kvaal, E. and Nobes, C.W., 2010. International d</w:t>
      </w:r>
      <w:r w:rsidRPr="009B1520">
        <w:t>ifferences in IFRS</w:t>
      </w:r>
      <w:r>
        <w:t xml:space="preserve"> policy choice. </w:t>
      </w:r>
      <w:r>
        <w:rPr>
          <w:i/>
        </w:rPr>
        <w:t xml:space="preserve">Accounting </w:t>
      </w:r>
      <w:r w:rsidR="00A00558">
        <w:rPr>
          <w:i/>
        </w:rPr>
        <w:t>and business r</w:t>
      </w:r>
      <w:r>
        <w:rPr>
          <w:i/>
        </w:rPr>
        <w:t>esearch</w:t>
      </w:r>
      <w:r>
        <w:t>, 40(</w:t>
      </w:r>
      <w:r w:rsidRPr="009B1520">
        <w:t>2</w:t>
      </w:r>
      <w:r>
        <w:t>), 173-87.</w:t>
      </w:r>
    </w:p>
    <w:p w14:paraId="5BCD0B5C" w14:textId="77777777" w:rsidR="00D2643B" w:rsidRDefault="00D2643B" w:rsidP="008C16B0">
      <w:pPr>
        <w:spacing w:after="60" w:line="480" w:lineRule="auto"/>
        <w:ind w:left="360" w:hanging="360"/>
      </w:pPr>
      <w:r>
        <w:t xml:space="preserve">Kvaal, E. and Nobes, C.W., 2012. IFRS policy changes and the persistence of national patterns of IFRS practice. </w:t>
      </w:r>
      <w:r>
        <w:rPr>
          <w:i/>
        </w:rPr>
        <w:t>Europea</w:t>
      </w:r>
      <w:r w:rsidR="00A00558">
        <w:rPr>
          <w:i/>
        </w:rPr>
        <w:t>n accounting re</w:t>
      </w:r>
      <w:r>
        <w:rPr>
          <w:i/>
        </w:rPr>
        <w:t>view</w:t>
      </w:r>
      <w:r>
        <w:t>, 21(2), 343-371.</w:t>
      </w:r>
    </w:p>
    <w:p w14:paraId="6439BCC9" w14:textId="77777777" w:rsidR="00D2643B" w:rsidRPr="00D81375" w:rsidRDefault="00D2643B" w:rsidP="008C16B0">
      <w:pPr>
        <w:spacing w:after="60" w:line="480" w:lineRule="auto"/>
        <w:ind w:left="360" w:hanging="360"/>
      </w:pPr>
      <w:r>
        <w:t xml:space="preserve">Kvaal, E. and Nobes, C., 2013. International variations in tax disclosures under IFRS. </w:t>
      </w:r>
      <w:r w:rsidRPr="008C07F6">
        <w:rPr>
          <w:i/>
        </w:rPr>
        <w:t>Accounting in Europe</w:t>
      </w:r>
      <w:r w:rsidR="0090443E">
        <w:t>, 10(1), forthcoming</w:t>
      </w:r>
      <w:r>
        <w:t>.</w:t>
      </w:r>
    </w:p>
    <w:p w14:paraId="160C483C" w14:textId="77777777" w:rsidR="00D2643B" w:rsidRDefault="00D2643B" w:rsidP="001D7A88">
      <w:pPr>
        <w:spacing w:after="60" w:line="480" w:lineRule="auto"/>
        <w:ind w:left="360" w:hanging="360"/>
      </w:pPr>
      <w:r>
        <w:t xml:space="preserve">Leuz, C., 2003. IAS versus U.S. GAAP: information asymmetry-based evidence from Germany’s new market. </w:t>
      </w:r>
      <w:r>
        <w:rPr>
          <w:i/>
        </w:rPr>
        <w:t>Journal of</w:t>
      </w:r>
      <w:r w:rsidR="00A00558">
        <w:rPr>
          <w:i/>
        </w:rPr>
        <w:t xml:space="preserve"> accounting re</w:t>
      </w:r>
      <w:r>
        <w:rPr>
          <w:i/>
        </w:rPr>
        <w:t>search</w:t>
      </w:r>
      <w:r>
        <w:t>, 41(3), 445-472.</w:t>
      </w:r>
    </w:p>
    <w:p w14:paraId="703BD7C5" w14:textId="77777777" w:rsidR="00D2643B" w:rsidRDefault="00D2643B" w:rsidP="001D7A88">
      <w:pPr>
        <w:spacing w:after="60" w:line="480" w:lineRule="auto"/>
        <w:ind w:left="360" w:hanging="360"/>
      </w:pPr>
      <w:r>
        <w:t xml:space="preserve">Leuz, C., 2010. Different approaches to corporate reporting regulation: how jurisdictions differ and why. </w:t>
      </w:r>
      <w:r>
        <w:rPr>
          <w:i/>
        </w:rPr>
        <w:t>Accounting and</w:t>
      </w:r>
      <w:r w:rsidR="00A00558">
        <w:rPr>
          <w:i/>
        </w:rPr>
        <w:t xml:space="preserve"> business re</w:t>
      </w:r>
      <w:r>
        <w:rPr>
          <w:i/>
        </w:rPr>
        <w:t>search</w:t>
      </w:r>
      <w:r>
        <w:t>, 40(3), 229-256.</w:t>
      </w:r>
    </w:p>
    <w:p w14:paraId="42D1A6B0" w14:textId="77777777" w:rsidR="00D2643B" w:rsidRDefault="00D2643B" w:rsidP="00EC51AF">
      <w:pPr>
        <w:spacing w:after="60" w:line="480" w:lineRule="auto"/>
        <w:ind w:left="360" w:hanging="360"/>
      </w:pPr>
      <w:r>
        <w:t>Meyer, H., 2011. Audit and enforcement of IFRS.  Paper presented at the European Financial Reporting Conference, Bamberg, September.</w:t>
      </w:r>
    </w:p>
    <w:p w14:paraId="7FF48D2B" w14:textId="77777777" w:rsidR="00D2643B" w:rsidRDefault="00D2643B" w:rsidP="00CA0FF3">
      <w:pPr>
        <w:spacing w:after="60" w:line="480" w:lineRule="auto"/>
        <w:ind w:left="360" w:hanging="360"/>
      </w:pPr>
      <w:r>
        <w:t xml:space="preserve">Morais, A.I., 2008. Actuarial gains and losses: the choice of the accounting method. </w:t>
      </w:r>
      <w:r w:rsidRPr="001D2A43">
        <w:rPr>
          <w:i/>
        </w:rPr>
        <w:t>Accounting in Europe</w:t>
      </w:r>
      <w:r>
        <w:t>, 5(1/2), 127-139.</w:t>
      </w:r>
    </w:p>
    <w:p w14:paraId="63D8A5A7" w14:textId="77777777" w:rsidR="00D2643B" w:rsidRDefault="00D2643B" w:rsidP="00CA0FF3">
      <w:pPr>
        <w:spacing w:after="60" w:line="480" w:lineRule="auto"/>
        <w:ind w:left="360" w:hanging="360"/>
      </w:pPr>
      <w:r>
        <w:t xml:space="preserve">Mueller, G.G., 1967. </w:t>
      </w:r>
      <w:r>
        <w:rPr>
          <w:i/>
        </w:rPr>
        <w:t>International Accounting</w:t>
      </w:r>
      <w:r>
        <w:t>, Part I, New York: Macmillan.</w:t>
      </w:r>
    </w:p>
    <w:p w14:paraId="0957DB67" w14:textId="77777777" w:rsidR="00D2643B" w:rsidRDefault="00D2643B" w:rsidP="00CA0FF3">
      <w:pPr>
        <w:spacing w:after="60" w:line="480" w:lineRule="auto"/>
        <w:ind w:left="360" w:hanging="360"/>
      </w:pPr>
      <w:r>
        <w:lastRenderedPageBreak/>
        <w:t xml:space="preserve">Nair, R.D. and Frank, W.G., 1980. The impact of disclosure and measurement practices on international accounting classifications. </w:t>
      </w:r>
      <w:r>
        <w:rPr>
          <w:i/>
        </w:rPr>
        <w:t>Accounting</w:t>
      </w:r>
      <w:r w:rsidR="00A00558">
        <w:rPr>
          <w:i/>
        </w:rPr>
        <w:t xml:space="preserve"> re</w:t>
      </w:r>
      <w:r>
        <w:rPr>
          <w:i/>
        </w:rPr>
        <w:t>view</w:t>
      </w:r>
      <w:r>
        <w:t>, 55(3), 426-450.</w:t>
      </w:r>
    </w:p>
    <w:p w14:paraId="0A88A8D5" w14:textId="77777777" w:rsidR="00D2643B" w:rsidRDefault="00D2643B" w:rsidP="00D81375">
      <w:pPr>
        <w:spacing w:after="60" w:line="480" w:lineRule="auto"/>
        <w:ind w:left="360" w:hanging="360"/>
      </w:pPr>
      <w:r>
        <w:t xml:space="preserve">Nobes, C.W., 1983. A judgmental international classification of financial reporting practices. </w:t>
      </w:r>
      <w:r>
        <w:rPr>
          <w:i/>
        </w:rPr>
        <w:t>Journal o</w:t>
      </w:r>
      <w:r w:rsidR="00A00558">
        <w:rPr>
          <w:i/>
        </w:rPr>
        <w:t>f business finance and a</w:t>
      </w:r>
      <w:r>
        <w:rPr>
          <w:i/>
        </w:rPr>
        <w:t>ccounting</w:t>
      </w:r>
      <w:r>
        <w:t>, 10(1), 1-19.</w:t>
      </w:r>
    </w:p>
    <w:p w14:paraId="37C19F83" w14:textId="77777777" w:rsidR="00D2643B" w:rsidRDefault="00D2643B" w:rsidP="001D7A88">
      <w:pPr>
        <w:spacing w:after="60" w:line="480" w:lineRule="auto"/>
        <w:ind w:left="360" w:hanging="360"/>
      </w:pPr>
      <w:r>
        <w:t>Nobes, C.W., 1992. Classification of accounting systems using competencies as a discriminating v</w:t>
      </w:r>
      <w:r w:rsidRPr="009B1520">
        <w:t>aria</w:t>
      </w:r>
      <w:r>
        <w:t xml:space="preserve">ble: a comment. </w:t>
      </w:r>
      <w:r>
        <w:rPr>
          <w:i/>
        </w:rPr>
        <w:t>Journa</w:t>
      </w:r>
      <w:r w:rsidR="00A00558">
        <w:rPr>
          <w:i/>
        </w:rPr>
        <w:t>l of business finance and accountin</w:t>
      </w:r>
      <w:r>
        <w:rPr>
          <w:i/>
        </w:rPr>
        <w:t>g</w:t>
      </w:r>
      <w:r>
        <w:t>, 19(1), 153-5.</w:t>
      </w:r>
    </w:p>
    <w:p w14:paraId="1A113DE8" w14:textId="77777777" w:rsidR="00D2643B" w:rsidRDefault="00D2643B" w:rsidP="00D81375">
      <w:pPr>
        <w:spacing w:after="60" w:line="480" w:lineRule="auto"/>
        <w:ind w:left="360" w:hanging="360"/>
      </w:pPr>
      <w:r>
        <w:t>Nobes, C.W., 1993. The true and fair view requirement:  i</w:t>
      </w:r>
      <w:r w:rsidRPr="009B1520">
        <w:t>mpact on and of the</w:t>
      </w:r>
      <w:r>
        <w:t xml:space="preserve"> Fourth Directive. </w:t>
      </w:r>
      <w:r>
        <w:rPr>
          <w:i/>
        </w:rPr>
        <w:t>Accounting an</w:t>
      </w:r>
      <w:r w:rsidR="00A00558">
        <w:rPr>
          <w:i/>
        </w:rPr>
        <w:t>d business res</w:t>
      </w:r>
      <w:r>
        <w:rPr>
          <w:i/>
        </w:rPr>
        <w:t>earch</w:t>
      </w:r>
      <w:r>
        <w:t>, 24(Winter), 35-48.</w:t>
      </w:r>
    </w:p>
    <w:p w14:paraId="2280B48A" w14:textId="77777777" w:rsidR="00D2643B" w:rsidRPr="00DF66E0" w:rsidRDefault="00D2643B" w:rsidP="00D81375">
      <w:pPr>
        <w:spacing w:after="60" w:line="480" w:lineRule="auto"/>
        <w:ind w:left="360" w:right="26" w:hanging="360"/>
      </w:pPr>
      <w:r>
        <w:t xml:space="preserve">Nobes, C.W., 1998. The future shape of harmonization: some responses. </w:t>
      </w:r>
      <w:r>
        <w:rPr>
          <w:i/>
        </w:rPr>
        <w:t xml:space="preserve">European </w:t>
      </w:r>
      <w:r w:rsidR="00A00558">
        <w:rPr>
          <w:i/>
        </w:rPr>
        <w:t>accounting r</w:t>
      </w:r>
      <w:r>
        <w:rPr>
          <w:i/>
        </w:rPr>
        <w:t>eview</w:t>
      </w:r>
      <w:r>
        <w:t>, 7(2), 323-333.</w:t>
      </w:r>
    </w:p>
    <w:p w14:paraId="3E9AE202" w14:textId="77777777" w:rsidR="00D2643B" w:rsidRDefault="00D2643B" w:rsidP="00D81375">
      <w:pPr>
        <w:pStyle w:val="BodyTextIndent2"/>
        <w:spacing w:after="60" w:line="480" w:lineRule="auto"/>
        <w:ind w:left="360" w:hanging="360"/>
      </w:pPr>
      <w:r>
        <w:t xml:space="preserve">Nobes, C.W., 2003. On the myth of ‘Anglo-Saxon’ accounting:  a comment. </w:t>
      </w:r>
      <w:r>
        <w:rPr>
          <w:i/>
          <w:iCs/>
        </w:rPr>
        <w:t xml:space="preserve">International </w:t>
      </w:r>
      <w:r w:rsidR="00A00558">
        <w:rPr>
          <w:i/>
          <w:iCs/>
        </w:rPr>
        <w:t>journal of ac</w:t>
      </w:r>
      <w:r>
        <w:rPr>
          <w:i/>
          <w:iCs/>
        </w:rPr>
        <w:t>counting</w:t>
      </w:r>
      <w:r>
        <w:t>, 38(1), 95-104.</w:t>
      </w:r>
    </w:p>
    <w:p w14:paraId="56DD3254" w14:textId="77777777" w:rsidR="00D2643B" w:rsidRPr="00D81375" w:rsidRDefault="00D2643B" w:rsidP="00D81375">
      <w:pPr>
        <w:pStyle w:val="References"/>
        <w:spacing w:after="60"/>
        <w:ind w:left="450" w:hanging="450"/>
        <w:rPr>
          <w:sz w:val="24"/>
          <w:szCs w:val="24"/>
        </w:rPr>
      </w:pPr>
      <w:r w:rsidRPr="004C37B6">
        <w:rPr>
          <w:sz w:val="24"/>
          <w:szCs w:val="24"/>
        </w:rPr>
        <w:t>Nobes, C.W.</w:t>
      </w:r>
      <w:r>
        <w:rPr>
          <w:sz w:val="24"/>
          <w:szCs w:val="24"/>
        </w:rPr>
        <w:t>,</w:t>
      </w:r>
      <w:r w:rsidRPr="004C37B6">
        <w:rPr>
          <w:sz w:val="24"/>
          <w:szCs w:val="24"/>
        </w:rPr>
        <w:t xml:space="preserve"> 2004</w:t>
      </w:r>
      <w:r>
        <w:rPr>
          <w:sz w:val="24"/>
          <w:szCs w:val="24"/>
        </w:rPr>
        <w:t xml:space="preserve">. </w:t>
      </w:r>
      <w:r w:rsidRPr="004C37B6">
        <w:rPr>
          <w:sz w:val="24"/>
          <w:szCs w:val="24"/>
        </w:rPr>
        <w:t>On accounting classification and the international harmonisation debate</w:t>
      </w:r>
      <w:r>
        <w:rPr>
          <w:sz w:val="24"/>
          <w:szCs w:val="24"/>
        </w:rPr>
        <w:t xml:space="preserve">.  </w:t>
      </w:r>
      <w:r w:rsidRPr="004C37B6">
        <w:rPr>
          <w:i/>
          <w:iCs/>
          <w:sz w:val="24"/>
          <w:szCs w:val="24"/>
        </w:rPr>
        <w:t>Accounting,</w:t>
      </w:r>
      <w:r w:rsidR="00A00558" w:rsidRPr="004C37B6">
        <w:rPr>
          <w:i/>
          <w:iCs/>
          <w:sz w:val="24"/>
          <w:szCs w:val="24"/>
        </w:rPr>
        <w:t xml:space="preserve"> organizations and s</w:t>
      </w:r>
      <w:r w:rsidRPr="004C37B6">
        <w:rPr>
          <w:i/>
          <w:iCs/>
          <w:sz w:val="24"/>
          <w:szCs w:val="24"/>
        </w:rPr>
        <w:t>ociety</w:t>
      </w:r>
      <w:r w:rsidRPr="004C37B6">
        <w:rPr>
          <w:sz w:val="24"/>
          <w:szCs w:val="24"/>
        </w:rPr>
        <w:t xml:space="preserve">, </w:t>
      </w:r>
      <w:r>
        <w:rPr>
          <w:sz w:val="24"/>
          <w:szCs w:val="24"/>
        </w:rPr>
        <w:t>29(</w:t>
      </w:r>
      <w:r w:rsidRPr="004C37B6">
        <w:rPr>
          <w:sz w:val="24"/>
          <w:szCs w:val="24"/>
        </w:rPr>
        <w:t>2</w:t>
      </w:r>
      <w:r>
        <w:rPr>
          <w:sz w:val="24"/>
          <w:szCs w:val="24"/>
        </w:rPr>
        <w:t>), 189-200.</w:t>
      </w:r>
    </w:p>
    <w:p w14:paraId="7EE0A4EB" w14:textId="77777777" w:rsidR="00D2643B" w:rsidRDefault="00D2643B" w:rsidP="000B460A">
      <w:pPr>
        <w:spacing w:after="60" w:line="480" w:lineRule="auto"/>
        <w:ind w:left="360" w:hanging="360"/>
      </w:pPr>
      <w:r>
        <w:t>Nobes, C.W., 2006. The survival of international d</w:t>
      </w:r>
      <w:r w:rsidRPr="009B1520">
        <w:t>ifferences under IFRS</w:t>
      </w:r>
      <w:r>
        <w:t>:  towards a research agenda.</w:t>
      </w:r>
      <w:r w:rsidRPr="009B1520">
        <w:t xml:space="preserve"> </w:t>
      </w:r>
      <w:r>
        <w:rPr>
          <w:i/>
        </w:rPr>
        <w:t>Accounting and</w:t>
      </w:r>
      <w:r w:rsidR="00A00558">
        <w:rPr>
          <w:i/>
        </w:rPr>
        <w:t xml:space="preserve"> business </w:t>
      </w:r>
      <w:r w:rsidR="00B82508" w:rsidRPr="00B82508">
        <w:rPr>
          <w:i/>
        </w:rPr>
        <w:t>research</w:t>
      </w:r>
      <w:r>
        <w:t>, 36(3), 233-45.</w:t>
      </w:r>
    </w:p>
    <w:p w14:paraId="0B23B480" w14:textId="77777777" w:rsidR="00D2643B" w:rsidRDefault="00D2643B" w:rsidP="000B460A">
      <w:pPr>
        <w:spacing w:after="60" w:line="480" w:lineRule="auto"/>
        <w:ind w:left="360" w:hanging="360"/>
      </w:pPr>
      <w:r>
        <w:t>Nobes, C.W., 2009. The importance of being fair: an a</w:t>
      </w:r>
      <w:r w:rsidRPr="009B1520">
        <w:t>nalysis of IFRS</w:t>
      </w:r>
      <w:r>
        <w:t xml:space="preserve"> regulation and practice. </w:t>
      </w:r>
      <w:r>
        <w:rPr>
          <w:i/>
        </w:rPr>
        <w:t xml:space="preserve">Accounting and </w:t>
      </w:r>
      <w:r w:rsidR="00A00558">
        <w:rPr>
          <w:i/>
        </w:rPr>
        <w:t>business rese</w:t>
      </w:r>
      <w:r>
        <w:rPr>
          <w:i/>
        </w:rPr>
        <w:t>arch</w:t>
      </w:r>
      <w:r>
        <w:t>, 39(4), 415-427.</w:t>
      </w:r>
    </w:p>
    <w:p w14:paraId="73D03FFB" w14:textId="77777777" w:rsidR="00D2643B" w:rsidRDefault="00D2643B" w:rsidP="000B460A">
      <w:pPr>
        <w:spacing w:after="60" w:line="480" w:lineRule="auto"/>
        <w:ind w:left="360" w:hanging="360"/>
      </w:pPr>
      <w:r>
        <w:t xml:space="preserve">Nobes, C.W., 2011. IFRS practices and the persistence of accounting system classification. </w:t>
      </w:r>
      <w:r>
        <w:rPr>
          <w:i/>
        </w:rPr>
        <w:t>Abacus</w:t>
      </w:r>
      <w:r>
        <w:t>, 47(3), 267-283.</w:t>
      </w:r>
    </w:p>
    <w:p w14:paraId="173363D7" w14:textId="77777777" w:rsidR="00D2643B" w:rsidRPr="00B63E94" w:rsidRDefault="00D2643B" w:rsidP="000B460A">
      <w:pPr>
        <w:spacing w:after="60" w:line="480" w:lineRule="auto"/>
        <w:ind w:left="360" w:hanging="360"/>
      </w:pPr>
      <w:r>
        <w:t>No</w:t>
      </w:r>
      <w:r w:rsidR="0090443E">
        <w:t>bes, C.W. and Perramon, J., 2013</w:t>
      </w:r>
      <w:r>
        <w:t xml:space="preserve">. Firm size and national profiles of IFRS policy choice. </w:t>
      </w:r>
      <w:r w:rsidRPr="007B115C">
        <w:rPr>
          <w:i/>
        </w:rPr>
        <w:t>Austral</w:t>
      </w:r>
      <w:r w:rsidR="00A00558" w:rsidRPr="007B115C">
        <w:rPr>
          <w:i/>
        </w:rPr>
        <w:t>ian accounting review</w:t>
      </w:r>
      <w:r w:rsidR="00A00558">
        <w:t>,</w:t>
      </w:r>
      <w:r>
        <w:t xml:space="preserve"> forthcoming.</w:t>
      </w:r>
    </w:p>
    <w:p w14:paraId="2989F910" w14:textId="77777777" w:rsidR="00D2643B" w:rsidRDefault="00D2643B" w:rsidP="008C16B0">
      <w:pPr>
        <w:spacing w:after="60" w:line="480" w:lineRule="auto"/>
        <w:ind w:left="360" w:hanging="360"/>
      </w:pPr>
      <w:r>
        <w:lastRenderedPageBreak/>
        <w:t>Nobes, C.W. and Stadler, C., 2012. The determinants of IFRS policy choice. Paper presented at the European Accounting Association conference, May.</w:t>
      </w:r>
    </w:p>
    <w:p w14:paraId="2D249901" w14:textId="77777777" w:rsidR="00D2643B" w:rsidRDefault="00D2643B" w:rsidP="00491A71">
      <w:pPr>
        <w:spacing w:after="60" w:line="480" w:lineRule="auto"/>
        <w:ind w:left="360" w:hanging="360"/>
      </w:pPr>
      <w:r>
        <w:t>Nobes, C.W. and Zeff, S.A., 2008. Auditor affirmations of c</w:t>
      </w:r>
      <w:r w:rsidRPr="009B1520">
        <w:t>ompliance with IFRS</w:t>
      </w:r>
      <w:r>
        <w:t xml:space="preserve"> around the world: an exploratory study. </w:t>
      </w:r>
      <w:r w:rsidRPr="009B1520">
        <w:rPr>
          <w:i/>
        </w:rPr>
        <w:t>Accounting</w:t>
      </w:r>
      <w:r w:rsidR="00A00558" w:rsidRPr="009B1520">
        <w:rPr>
          <w:i/>
        </w:rPr>
        <w:t xml:space="preserve"> pe</w:t>
      </w:r>
      <w:r w:rsidRPr="009B1520">
        <w:rPr>
          <w:i/>
        </w:rPr>
        <w:t>rspectives</w:t>
      </w:r>
      <w:r>
        <w:rPr>
          <w:i/>
        </w:rPr>
        <w:t>,</w:t>
      </w:r>
      <w:r w:rsidR="0090443E">
        <w:rPr>
          <w:i/>
        </w:rPr>
        <w:t xml:space="preserve"> </w:t>
      </w:r>
      <w:r>
        <w:t>7(4), 279-292.</w:t>
      </w:r>
    </w:p>
    <w:p w14:paraId="700E8C0F" w14:textId="77777777" w:rsidR="00D2643B" w:rsidRDefault="00D2643B" w:rsidP="00491A71">
      <w:pPr>
        <w:spacing w:after="60" w:line="480" w:lineRule="auto"/>
        <w:ind w:left="360" w:hanging="360"/>
      </w:pPr>
      <w:r>
        <w:t xml:space="preserve">Pacter, P., 2012. Stop and smell the roses. </w:t>
      </w:r>
      <w:r w:rsidRPr="008C07F6">
        <w:rPr>
          <w:i/>
        </w:rPr>
        <w:t>Australian</w:t>
      </w:r>
      <w:r w:rsidR="00A00558" w:rsidRPr="008C07F6">
        <w:rPr>
          <w:i/>
        </w:rPr>
        <w:t xml:space="preserve"> accounting re</w:t>
      </w:r>
      <w:r w:rsidRPr="008C07F6">
        <w:rPr>
          <w:i/>
        </w:rPr>
        <w:t>view</w:t>
      </w:r>
      <w:r>
        <w:t>, 22(3), 246-247.</w:t>
      </w:r>
    </w:p>
    <w:p w14:paraId="79200D56" w14:textId="5F6C6F18" w:rsidR="00D2643B" w:rsidRDefault="00D2643B" w:rsidP="00491A71">
      <w:pPr>
        <w:spacing w:after="60" w:line="480" w:lineRule="auto"/>
        <w:ind w:left="360" w:hanging="360"/>
      </w:pPr>
      <w:r>
        <w:t>P</w:t>
      </w:r>
      <w:r w:rsidR="00731877">
        <w:t xml:space="preserve">rice </w:t>
      </w:r>
      <w:r>
        <w:t>W</w:t>
      </w:r>
      <w:r w:rsidR="00731877">
        <w:t>aterhouse</w:t>
      </w:r>
      <w:r>
        <w:t xml:space="preserve">, 1973. </w:t>
      </w:r>
      <w:r w:rsidRPr="009E3325">
        <w:rPr>
          <w:i/>
        </w:rPr>
        <w:t>Accounting Principles and Reporting Practice</w:t>
      </w:r>
      <w:r w:rsidR="00696B77">
        <w:rPr>
          <w:i/>
        </w:rPr>
        <w:t>s:</w:t>
      </w:r>
      <w:r>
        <w:rPr>
          <w:i/>
        </w:rPr>
        <w:t xml:space="preserve"> </w:t>
      </w:r>
      <w:r w:rsidR="00696B77">
        <w:rPr>
          <w:i/>
        </w:rPr>
        <w:t xml:space="preserve">A Survey in 36 Countries. </w:t>
      </w:r>
      <w:r w:rsidRPr="009E3325">
        <w:t>New York: Price Waterhouse.</w:t>
      </w:r>
    </w:p>
    <w:p w14:paraId="5DACA00A" w14:textId="77777777" w:rsidR="00696B77" w:rsidRPr="009E3325" w:rsidRDefault="00731877" w:rsidP="00491A71">
      <w:pPr>
        <w:spacing w:after="60" w:line="480" w:lineRule="auto"/>
        <w:ind w:left="360" w:hanging="360"/>
      </w:pPr>
      <w:r>
        <w:t>Price Waterhouse</w:t>
      </w:r>
      <w:r w:rsidR="00696B77">
        <w:t>, 1976.</w:t>
      </w:r>
      <w:r>
        <w:t xml:space="preserve"> </w:t>
      </w:r>
      <w:r w:rsidR="00696B77" w:rsidRPr="00854A3E">
        <w:rPr>
          <w:i/>
        </w:rPr>
        <w:t>A Survey in 46 Countries</w:t>
      </w:r>
      <w:r w:rsidR="00696B77">
        <w:rPr>
          <w:i/>
        </w:rPr>
        <w:t xml:space="preserve">: </w:t>
      </w:r>
      <w:r w:rsidR="00696B77" w:rsidRPr="009E3325">
        <w:rPr>
          <w:i/>
        </w:rPr>
        <w:t>Accounting Principles and Reporting Practice</w:t>
      </w:r>
      <w:r w:rsidR="00696B77">
        <w:rPr>
          <w:i/>
        </w:rPr>
        <w:t>s</w:t>
      </w:r>
      <w:r w:rsidR="00696B77">
        <w:t>. London: Institute of Chartered Accountants in England and Wales.</w:t>
      </w:r>
    </w:p>
    <w:p w14:paraId="42848CF4" w14:textId="77777777" w:rsidR="00D2643B" w:rsidRPr="00491A71" w:rsidRDefault="00D2643B" w:rsidP="00491A71">
      <w:pPr>
        <w:spacing w:after="60" w:line="480" w:lineRule="auto"/>
        <w:ind w:left="360" w:hanging="360"/>
      </w:pPr>
      <w:r>
        <w:t xml:space="preserve">SEC, 2011. </w:t>
      </w:r>
      <w:r>
        <w:rPr>
          <w:i/>
        </w:rPr>
        <w:t>Work Plan for the Consideration of Incorporating International Financial Reporting Standards into the Financial Reporting System for U.S. Issuers</w:t>
      </w:r>
      <w:r>
        <w:t>. Washington D.C.: Securities and Exchange Commission.</w:t>
      </w:r>
    </w:p>
    <w:p w14:paraId="72204700" w14:textId="77777777" w:rsidR="00D2643B" w:rsidRDefault="00D2643B" w:rsidP="008C16B0">
      <w:pPr>
        <w:spacing w:after="60" w:line="480" w:lineRule="auto"/>
        <w:ind w:left="360" w:hanging="360"/>
      </w:pPr>
      <w:r>
        <w:t xml:space="preserve">Seidler, L.J., 1967. International accounting - the ultimate theory course. </w:t>
      </w:r>
      <w:r>
        <w:rPr>
          <w:i/>
        </w:rPr>
        <w:t>Acco</w:t>
      </w:r>
      <w:r w:rsidR="00A00558">
        <w:rPr>
          <w:i/>
        </w:rPr>
        <w:t>unting review</w:t>
      </w:r>
      <w:r>
        <w:t>, 42(4), 775-781.</w:t>
      </w:r>
    </w:p>
    <w:p w14:paraId="5B50CD73" w14:textId="77777777" w:rsidR="00D2643B" w:rsidRDefault="00D2643B" w:rsidP="008C16B0">
      <w:pPr>
        <w:spacing w:after="60" w:line="480" w:lineRule="auto"/>
        <w:ind w:left="360" w:hanging="360"/>
      </w:pPr>
      <w:r>
        <w:t xml:space="preserve">Shoenthal, E., 1989. Classification of accounting systems using competencies as a discriminatory variable: a Great Britain – United States study. </w:t>
      </w:r>
      <w:r>
        <w:rPr>
          <w:i/>
        </w:rPr>
        <w:t>Journal o</w:t>
      </w:r>
      <w:r w:rsidR="00A00558">
        <w:rPr>
          <w:i/>
        </w:rPr>
        <w:t>f business finance and ac</w:t>
      </w:r>
      <w:r>
        <w:rPr>
          <w:i/>
        </w:rPr>
        <w:t>counting</w:t>
      </w:r>
      <w:r>
        <w:t>, 16(4), 549-563.</w:t>
      </w:r>
    </w:p>
    <w:p w14:paraId="45E697C2" w14:textId="77777777" w:rsidR="00D2643B" w:rsidRDefault="00D2643B" w:rsidP="008C16B0">
      <w:pPr>
        <w:spacing w:after="60" w:line="480" w:lineRule="auto"/>
        <w:ind w:left="360" w:hanging="360"/>
      </w:pPr>
      <w:r>
        <w:t xml:space="preserve">Standish, P., 2003. Evaluating national capacity for direct participation in international accounting harmonization: France as a test case. </w:t>
      </w:r>
      <w:r w:rsidRPr="008C07F6">
        <w:rPr>
          <w:i/>
        </w:rPr>
        <w:t>Abacus</w:t>
      </w:r>
      <w:r>
        <w:t>, 39(2), 186-210.</w:t>
      </w:r>
    </w:p>
    <w:p w14:paraId="3A58C54B" w14:textId="77777777" w:rsidR="00D2643B" w:rsidRPr="00F66FC3" w:rsidRDefault="00D2643B" w:rsidP="008C16B0">
      <w:pPr>
        <w:spacing w:after="60" w:line="480" w:lineRule="auto"/>
        <w:ind w:left="360" w:hanging="360"/>
      </w:pPr>
      <w:r>
        <w:t xml:space="preserve">Street, D.L. and Bryant, S.M., 2000. Disclosure level and compliance with IASs.  A comparison of companies with and without US listings and filings. </w:t>
      </w:r>
      <w:r>
        <w:rPr>
          <w:i/>
        </w:rPr>
        <w:t xml:space="preserve">International </w:t>
      </w:r>
      <w:r w:rsidR="00CD346F">
        <w:rPr>
          <w:i/>
        </w:rPr>
        <w:t>journal of accou</w:t>
      </w:r>
      <w:r>
        <w:rPr>
          <w:i/>
        </w:rPr>
        <w:t>nting</w:t>
      </w:r>
      <w:r>
        <w:t>, 35(3), 305-329.</w:t>
      </w:r>
    </w:p>
    <w:p w14:paraId="7A95A396" w14:textId="77777777" w:rsidR="00D2643B" w:rsidRDefault="00D2643B" w:rsidP="008C16B0">
      <w:pPr>
        <w:spacing w:after="60" w:line="480" w:lineRule="auto"/>
        <w:ind w:left="360" w:hanging="360"/>
      </w:pPr>
      <w:r>
        <w:lastRenderedPageBreak/>
        <w:t xml:space="preserve">Street, D.L. and Gray, S.J., 2001. </w:t>
      </w:r>
      <w:r>
        <w:rPr>
          <w:i/>
        </w:rPr>
        <w:t>Observance of International Accounting Standards: Factors Explaining Non-compliance</w:t>
      </w:r>
      <w:r w:rsidR="0090443E">
        <w:rPr>
          <w:i/>
        </w:rPr>
        <w:t xml:space="preserve">. </w:t>
      </w:r>
      <w:r w:rsidR="0090443E" w:rsidRPr="0090443E">
        <w:t>London</w:t>
      </w:r>
      <w:r w:rsidRPr="0090443E">
        <w:t>:</w:t>
      </w:r>
      <w:r>
        <w:t xml:space="preserve"> Association of Chartered Certi</w:t>
      </w:r>
      <w:r w:rsidR="0090443E">
        <w:t>fied Accountants</w:t>
      </w:r>
      <w:r>
        <w:t>.</w:t>
      </w:r>
    </w:p>
    <w:p w14:paraId="59B1AD6C" w14:textId="77777777" w:rsidR="00D2643B" w:rsidRDefault="00D2643B" w:rsidP="008C16B0">
      <w:pPr>
        <w:spacing w:after="60" w:line="480" w:lineRule="auto"/>
        <w:ind w:left="360" w:hanging="360"/>
      </w:pPr>
      <w:r>
        <w:t xml:space="preserve">Taplin, R., 2011. The measurement of comparability in accounting research. </w:t>
      </w:r>
      <w:r w:rsidRPr="000B6B4D">
        <w:rPr>
          <w:i/>
        </w:rPr>
        <w:t>Abacus</w:t>
      </w:r>
      <w:r>
        <w:t>, 47(3), 363-409.</w:t>
      </w:r>
    </w:p>
    <w:p w14:paraId="1056F2DC" w14:textId="77777777" w:rsidR="00D2643B" w:rsidRDefault="00D2643B" w:rsidP="008C16B0">
      <w:pPr>
        <w:spacing w:after="60" w:line="480" w:lineRule="auto"/>
        <w:ind w:left="360" w:hanging="360"/>
      </w:pPr>
      <w:r>
        <w:t>Wehrfritz, M, Haller, A. and Walton, P., 2012. National influences on the application of IFRS – interpretations and accounting estimates by German and British accountants. Working paper of the University of Regensberg.</w:t>
      </w:r>
    </w:p>
    <w:p w14:paraId="72AFA79A" w14:textId="77777777" w:rsidR="00D2643B" w:rsidRDefault="00D2643B" w:rsidP="008C16B0">
      <w:pPr>
        <w:spacing w:after="60" w:line="480" w:lineRule="auto"/>
        <w:ind w:left="360" w:hanging="360"/>
      </w:pPr>
      <w:r>
        <w:t xml:space="preserve">Whittington, G., 2005. The adoption of international accounting standards in the European Union. </w:t>
      </w:r>
      <w:r>
        <w:rPr>
          <w:i/>
        </w:rPr>
        <w:t>Europea</w:t>
      </w:r>
      <w:r w:rsidR="00CD346F">
        <w:rPr>
          <w:i/>
        </w:rPr>
        <w:t>n accounting re</w:t>
      </w:r>
      <w:r>
        <w:rPr>
          <w:i/>
        </w:rPr>
        <w:t>view</w:t>
      </w:r>
      <w:r>
        <w:t>, 14(1), 127-153.</w:t>
      </w:r>
    </w:p>
    <w:p w14:paraId="57BDBC4D" w14:textId="77777777" w:rsidR="00731877" w:rsidRDefault="00731877" w:rsidP="008C16B0">
      <w:pPr>
        <w:spacing w:after="60" w:line="480" w:lineRule="auto"/>
        <w:ind w:left="360" w:hanging="360"/>
      </w:pPr>
      <w:r>
        <w:t xml:space="preserve">Wysocki, P., 2011. </w:t>
      </w:r>
      <w:r w:rsidR="00E83BD5">
        <w:t xml:space="preserve">New institutional accounting and IFRS. </w:t>
      </w:r>
      <w:r w:rsidR="00E83BD5">
        <w:rPr>
          <w:i/>
        </w:rPr>
        <w:t>Accounting and business research</w:t>
      </w:r>
      <w:r w:rsidR="00E83BD5">
        <w:t>, 41(3), 309-328.</w:t>
      </w:r>
    </w:p>
    <w:p w14:paraId="24EDAB78" w14:textId="77777777" w:rsidR="00D2643B" w:rsidRDefault="00D2643B" w:rsidP="00BD6B5C">
      <w:pPr>
        <w:spacing w:line="480" w:lineRule="auto"/>
        <w:ind w:left="360" w:hanging="360"/>
      </w:pPr>
      <w:r>
        <w:t xml:space="preserve">Verriest, A., Gaeremynck, A. and Thornton, D., 2012. The impact of corporate governance on IFRS adoption choices. </w:t>
      </w:r>
      <w:r>
        <w:rPr>
          <w:i/>
        </w:rPr>
        <w:t>European</w:t>
      </w:r>
      <w:r w:rsidR="00CD346F">
        <w:rPr>
          <w:i/>
        </w:rPr>
        <w:t xml:space="preserve"> accounting r</w:t>
      </w:r>
      <w:r>
        <w:rPr>
          <w:i/>
        </w:rPr>
        <w:t>eview</w:t>
      </w:r>
      <w:r>
        <w:t xml:space="preserve">, forthcoming. </w:t>
      </w:r>
    </w:p>
    <w:p w14:paraId="4CD7D7BC" w14:textId="77777777" w:rsidR="00D2643B" w:rsidRPr="00BD6B5C" w:rsidRDefault="00D2643B" w:rsidP="00BD6B5C">
      <w:pPr>
        <w:spacing w:line="480" w:lineRule="auto"/>
        <w:ind w:left="360" w:hanging="360"/>
      </w:pPr>
      <w:r>
        <w:t xml:space="preserve">Zeff, S.A., 2007. Some obstacles to global financial reporting comparability and convergence at a high level of quality. </w:t>
      </w:r>
      <w:r w:rsidRPr="008C07F6">
        <w:rPr>
          <w:i/>
        </w:rPr>
        <w:t>Britis</w:t>
      </w:r>
      <w:r w:rsidR="00CD346F" w:rsidRPr="008C07F6">
        <w:rPr>
          <w:i/>
        </w:rPr>
        <w:t>h accounting re</w:t>
      </w:r>
      <w:r w:rsidRPr="008C07F6">
        <w:rPr>
          <w:i/>
        </w:rPr>
        <w:t>view</w:t>
      </w:r>
      <w:r>
        <w:t>, 39(4), 290-302.</w:t>
      </w:r>
    </w:p>
    <w:p w14:paraId="0F7C2988" w14:textId="77777777" w:rsidR="00D2643B" w:rsidRPr="006E0D08" w:rsidRDefault="00D2643B" w:rsidP="008C16B0">
      <w:pPr>
        <w:spacing w:after="60" w:line="480" w:lineRule="auto"/>
        <w:ind w:left="360" w:hanging="360"/>
      </w:pPr>
      <w:r>
        <w:t xml:space="preserve">Zeff, S.A. and Nobes, C.W., 2010. </w:t>
      </w:r>
      <w:r w:rsidRPr="009B1520">
        <w:t>Has Australia</w:t>
      </w:r>
      <w:r>
        <w:t xml:space="preserve"> (or any other jurisdiction) ‘a</w:t>
      </w:r>
      <w:r w:rsidRPr="009B1520">
        <w:t>dopted’ IFRS</w:t>
      </w:r>
      <w:r>
        <w:t>?.</w:t>
      </w:r>
      <w:r w:rsidRPr="00760478">
        <w:rPr>
          <w:i/>
        </w:rPr>
        <w:t xml:space="preserve"> </w:t>
      </w:r>
      <w:r w:rsidRPr="009B1520">
        <w:rPr>
          <w:i/>
        </w:rPr>
        <w:t>Austral</w:t>
      </w:r>
      <w:r w:rsidR="00CD346F" w:rsidRPr="009B1520">
        <w:rPr>
          <w:i/>
        </w:rPr>
        <w:t>ian accounting r</w:t>
      </w:r>
      <w:r w:rsidRPr="009B1520">
        <w:rPr>
          <w:i/>
        </w:rPr>
        <w:t>eview</w:t>
      </w:r>
      <w:r>
        <w:t>,</w:t>
      </w:r>
      <w:r w:rsidRPr="009B1520">
        <w:t xml:space="preserve"> 20</w:t>
      </w:r>
      <w:r>
        <w:t>(</w:t>
      </w:r>
      <w:r w:rsidRPr="009B1520">
        <w:t>2</w:t>
      </w:r>
      <w:r>
        <w:t>), 178-184.</w:t>
      </w:r>
    </w:p>
    <w:p w14:paraId="2951FEE7" w14:textId="77777777" w:rsidR="00D2643B" w:rsidRDefault="00D2643B">
      <w:pPr>
        <w:spacing w:after="0" w:line="240" w:lineRule="auto"/>
      </w:pPr>
      <w:r>
        <w:br w:type="page"/>
      </w:r>
    </w:p>
    <w:p w14:paraId="49ACBC1C" w14:textId="77777777" w:rsidR="00D2643B" w:rsidRPr="00990C6E" w:rsidRDefault="00D2643B" w:rsidP="00990C6E">
      <w:pPr>
        <w:pStyle w:val="Tableheading"/>
      </w:pPr>
      <w:r w:rsidRPr="00990C6E">
        <w:lastRenderedPageBreak/>
        <w:t>Appendix IASB Statements referred to in th</w:t>
      </w:r>
      <w:r w:rsidR="0090443E">
        <w:t>e paper (titles as at 31 December</w:t>
      </w:r>
      <w:r w:rsidRPr="00990C6E">
        <w:t xml:space="preserve"> 201</w:t>
      </w:r>
      <w:r w:rsidR="0090443E">
        <w:t>2</w:t>
      </w:r>
      <w:r w:rsidRPr="00990C6E">
        <w:t>)</w:t>
      </w:r>
    </w:p>
    <w:p w14:paraId="02B94FFF" w14:textId="77777777" w:rsidR="00D2643B" w:rsidRPr="00990C6E" w:rsidRDefault="00D2643B" w:rsidP="00990C6E">
      <w:pPr>
        <w:spacing w:after="0"/>
        <w:rPr>
          <w:sz w:val="22"/>
          <w:szCs w:val="22"/>
        </w:rPr>
      </w:pPr>
    </w:p>
    <w:tbl>
      <w:tblPr>
        <w:tblW w:w="873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0"/>
        <w:gridCol w:w="630"/>
        <w:gridCol w:w="7295"/>
      </w:tblGrid>
      <w:tr w:rsidR="00D2643B" w:rsidRPr="00990C6E" w14:paraId="7426D1F5" w14:textId="77777777" w:rsidTr="00B13657">
        <w:tc>
          <w:tcPr>
            <w:tcW w:w="810" w:type="dxa"/>
            <w:tcBorders>
              <w:top w:val="single" w:sz="4" w:space="0" w:color="auto"/>
            </w:tcBorders>
          </w:tcPr>
          <w:p w14:paraId="1A3EAA9A"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tcBorders>
              <w:top w:val="single" w:sz="4" w:space="0" w:color="auto"/>
            </w:tcBorders>
            <w:vAlign w:val="center"/>
          </w:tcPr>
          <w:p w14:paraId="71239BEE"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1</w:t>
            </w:r>
          </w:p>
        </w:tc>
        <w:tc>
          <w:tcPr>
            <w:tcW w:w="7295" w:type="dxa"/>
            <w:tcBorders>
              <w:top w:val="single" w:sz="4" w:space="0" w:color="auto"/>
            </w:tcBorders>
          </w:tcPr>
          <w:p w14:paraId="7E21DCF6"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Presentation of ﬁnancial statements</w:t>
            </w:r>
          </w:p>
        </w:tc>
      </w:tr>
      <w:tr w:rsidR="00D2643B" w:rsidRPr="00990C6E" w14:paraId="12499051" w14:textId="77777777" w:rsidTr="00B13657">
        <w:tc>
          <w:tcPr>
            <w:tcW w:w="810" w:type="dxa"/>
          </w:tcPr>
          <w:p w14:paraId="1051A94E"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27D8CE35"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2</w:t>
            </w:r>
          </w:p>
        </w:tc>
        <w:tc>
          <w:tcPr>
            <w:tcW w:w="7295" w:type="dxa"/>
          </w:tcPr>
          <w:p w14:paraId="436B9BEC"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Inventories</w:t>
            </w:r>
          </w:p>
        </w:tc>
      </w:tr>
      <w:tr w:rsidR="00D2643B" w:rsidRPr="00990C6E" w14:paraId="650DAFAD" w14:textId="77777777" w:rsidTr="00B13657">
        <w:tc>
          <w:tcPr>
            <w:tcW w:w="810" w:type="dxa"/>
          </w:tcPr>
          <w:p w14:paraId="2B323643"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40588314"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7</w:t>
            </w:r>
          </w:p>
        </w:tc>
        <w:tc>
          <w:tcPr>
            <w:tcW w:w="7295" w:type="dxa"/>
          </w:tcPr>
          <w:p w14:paraId="1EA96ED5"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Statement of cash ﬂows</w:t>
            </w:r>
          </w:p>
        </w:tc>
      </w:tr>
      <w:tr w:rsidR="00D2643B" w:rsidRPr="00990C6E" w14:paraId="6D1C2097" w14:textId="77777777" w:rsidTr="00B13657">
        <w:tc>
          <w:tcPr>
            <w:tcW w:w="810" w:type="dxa"/>
          </w:tcPr>
          <w:p w14:paraId="591978EE"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414130AE"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8</w:t>
            </w:r>
          </w:p>
        </w:tc>
        <w:tc>
          <w:tcPr>
            <w:tcW w:w="7295" w:type="dxa"/>
          </w:tcPr>
          <w:p w14:paraId="7CF56477"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Accounting policies, changes in accounting estimates and errors</w:t>
            </w:r>
          </w:p>
        </w:tc>
      </w:tr>
      <w:tr w:rsidR="00D2643B" w:rsidRPr="00990C6E" w14:paraId="39D01FBE" w14:textId="77777777" w:rsidTr="00B13657">
        <w:tc>
          <w:tcPr>
            <w:tcW w:w="810" w:type="dxa"/>
          </w:tcPr>
          <w:p w14:paraId="6B1B2854"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0BE718E1"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10</w:t>
            </w:r>
          </w:p>
        </w:tc>
        <w:tc>
          <w:tcPr>
            <w:tcW w:w="7295" w:type="dxa"/>
          </w:tcPr>
          <w:p w14:paraId="3BB214AE"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Events after the reporting period</w:t>
            </w:r>
          </w:p>
        </w:tc>
      </w:tr>
      <w:tr w:rsidR="00D2643B" w:rsidRPr="00990C6E" w14:paraId="7C064D75" w14:textId="77777777" w:rsidTr="00B13657">
        <w:tc>
          <w:tcPr>
            <w:tcW w:w="810" w:type="dxa"/>
          </w:tcPr>
          <w:p w14:paraId="005E8F46"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46AB1C56"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11</w:t>
            </w:r>
          </w:p>
        </w:tc>
        <w:tc>
          <w:tcPr>
            <w:tcW w:w="7295" w:type="dxa"/>
          </w:tcPr>
          <w:p w14:paraId="2D6AFA05"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Construction contracts</w:t>
            </w:r>
          </w:p>
        </w:tc>
      </w:tr>
      <w:tr w:rsidR="00D2643B" w:rsidRPr="00990C6E" w14:paraId="7EF62B30" w14:textId="77777777" w:rsidTr="00B13657">
        <w:tc>
          <w:tcPr>
            <w:tcW w:w="810" w:type="dxa"/>
          </w:tcPr>
          <w:p w14:paraId="18D671D3"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75D969EA"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12</w:t>
            </w:r>
          </w:p>
        </w:tc>
        <w:tc>
          <w:tcPr>
            <w:tcW w:w="7295" w:type="dxa"/>
          </w:tcPr>
          <w:p w14:paraId="30C1340A"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Income taxes</w:t>
            </w:r>
          </w:p>
        </w:tc>
      </w:tr>
      <w:tr w:rsidR="00D2643B" w:rsidRPr="00990C6E" w14:paraId="28F7BB62" w14:textId="77777777" w:rsidTr="00B13657">
        <w:tc>
          <w:tcPr>
            <w:tcW w:w="810" w:type="dxa"/>
          </w:tcPr>
          <w:p w14:paraId="44E3BC2F"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6FB738B4"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16</w:t>
            </w:r>
          </w:p>
        </w:tc>
        <w:tc>
          <w:tcPr>
            <w:tcW w:w="7295" w:type="dxa"/>
          </w:tcPr>
          <w:p w14:paraId="6307453A"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Property, plant and equipment</w:t>
            </w:r>
          </w:p>
        </w:tc>
      </w:tr>
      <w:tr w:rsidR="00D2643B" w:rsidRPr="00990C6E" w14:paraId="5BB6ADE6" w14:textId="77777777" w:rsidTr="00B13657">
        <w:tc>
          <w:tcPr>
            <w:tcW w:w="810" w:type="dxa"/>
          </w:tcPr>
          <w:p w14:paraId="42DC5500"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19B5B5E5"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17</w:t>
            </w:r>
          </w:p>
        </w:tc>
        <w:tc>
          <w:tcPr>
            <w:tcW w:w="7295" w:type="dxa"/>
          </w:tcPr>
          <w:p w14:paraId="6B0FE44F"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Leases</w:t>
            </w:r>
          </w:p>
        </w:tc>
      </w:tr>
      <w:tr w:rsidR="00D2643B" w:rsidRPr="00990C6E" w14:paraId="0406BD54" w14:textId="77777777" w:rsidTr="00B13657">
        <w:tc>
          <w:tcPr>
            <w:tcW w:w="810" w:type="dxa"/>
          </w:tcPr>
          <w:p w14:paraId="0A3A2C7F"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74C9B2BD"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18</w:t>
            </w:r>
          </w:p>
        </w:tc>
        <w:tc>
          <w:tcPr>
            <w:tcW w:w="7295" w:type="dxa"/>
          </w:tcPr>
          <w:p w14:paraId="78DAFC1C"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Revenue</w:t>
            </w:r>
          </w:p>
        </w:tc>
      </w:tr>
      <w:tr w:rsidR="00D2643B" w:rsidRPr="00990C6E" w14:paraId="42EEE41C" w14:textId="77777777" w:rsidTr="00B13657">
        <w:tc>
          <w:tcPr>
            <w:tcW w:w="810" w:type="dxa"/>
          </w:tcPr>
          <w:p w14:paraId="1199FC6F"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5B75FBA6"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19</w:t>
            </w:r>
          </w:p>
        </w:tc>
        <w:tc>
          <w:tcPr>
            <w:tcW w:w="7295" w:type="dxa"/>
          </w:tcPr>
          <w:p w14:paraId="5843FA87"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Employee beneﬁts</w:t>
            </w:r>
          </w:p>
        </w:tc>
      </w:tr>
      <w:tr w:rsidR="00D2643B" w:rsidRPr="00990C6E" w14:paraId="6C449A8D" w14:textId="77777777" w:rsidTr="00B13657">
        <w:tc>
          <w:tcPr>
            <w:tcW w:w="810" w:type="dxa"/>
          </w:tcPr>
          <w:p w14:paraId="61B1E28F"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004D605E"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20</w:t>
            </w:r>
          </w:p>
        </w:tc>
        <w:tc>
          <w:tcPr>
            <w:tcW w:w="7295" w:type="dxa"/>
          </w:tcPr>
          <w:p w14:paraId="3376B683"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Accounting for government grants and disclosure of government assistance</w:t>
            </w:r>
          </w:p>
        </w:tc>
      </w:tr>
      <w:tr w:rsidR="00D2643B" w:rsidRPr="00990C6E" w14:paraId="1DC002DD" w14:textId="77777777" w:rsidTr="00B13657">
        <w:tc>
          <w:tcPr>
            <w:tcW w:w="810" w:type="dxa"/>
          </w:tcPr>
          <w:p w14:paraId="1EEA0F15"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145155D9"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21</w:t>
            </w:r>
          </w:p>
        </w:tc>
        <w:tc>
          <w:tcPr>
            <w:tcW w:w="7295" w:type="dxa"/>
          </w:tcPr>
          <w:p w14:paraId="0F5728AC"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The effects of changes in foreign exchange rates</w:t>
            </w:r>
          </w:p>
        </w:tc>
      </w:tr>
      <w:tr w:rsidR="00D2643B" w:rsidRPr="00990C6E" w14:paraId="4429FAF6" w14:textId="77777777" w:rsidTr="00B13657">
        <w:tc>
          <w:tcPr>
            <w:tcW w:w="810" w:type="dxa"/>
          </w:tcPr>
          <w:p w14:paraId="6A3A8A7C"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62DFABB5"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23</w:t>
            </w:r>
          </w:p>
        </w:tc>
        <w:tc>
          <w:tcPr>
            <w:tcW w:w="7295" w:type="dxa"/>
          </w:tcPr>
          <w:p w14:paraId="39CB37D7"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Borrowing costs</w:t>
            </w:r>
          </w:p>
        </w:tc>
      </w:tr>
      <w:tr w:rsidR="00D2643B" w:rsidRPr="00990C6E" w14:paraId="425455B6" w14:textId="77777777" w:rsidTr="00B13657">
        <w:tc>
          <w:tcPr>
            <w:tcW w:w="810" w:type="dxa"/>
          </w:tcPr>
          <w:p w14:paraId="198D90A0"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IAS</w:t>
            </w:r>
          </w:p>
        </w:tc>
        <w:tc>
          <w:tcPr>
            <w:tcW w:w="630" w:type="dxa"/>
            <w:vAlign w:val="center"/>
          </w:tcPr>
          <w:p w14:paraId="66F21B1F" w14:textId="77777777" w:rsidR="00D2643B" w:rsidRPr="00B13657" w:rsidRDefault="00D2643B" w:rsidP="00B13657">
            <w:pPr>
              <w:pStyle w:val="Tabletext"/>
              <w:jc w:val="center"/>
              <w:rPr>
                <w:rFonts w:ascii="Times New Roman" w:hAnsi="Times New Roman" w:cs="Times New Roman"/>
                <w:sz w:val="22"/>
                <w:szCs w:val="22"/>
              </w:rPr>
            </w:pPr>
            <w:r w:rsidRPr="00B13657">
              <w:rPr>
                <w:rFonts w:ascii="Times New Roman" w:hAnsi="Times New Roman" w:cs="Times New Roman"/>
                <w:sz w:val="22"/>
                <w:szCs w:val="22"/>
              </w:rPr>
              <w:t>27</w:t>
            </w:r>
          </w:p>
        </w:tc>
        <w:tc>
          <w:tcPr>
            <w:tcW w:w="7295" w:type="dxa"/>
          </w:tcPr>
          <w:p w14:paraId="71075BA9" w14:textId="77777777" w:rsidR="00D2643B" w:rsidRPr="00B13657" w:rsidRDefault="00D2643B" w:rsidP="00D3346C">
            <w:pPr>
              <w:pStyle w:val="Tabletext"/>
              <w:rPr>
                <w:rFonts w:ascii="Times New Roman" w:hAnsi="Times New Roman" w:cs="Times New Roman"/>
                <w:sz w:val="22"/>
                <w:szCs w:val="22"/>
              </w:rPr>
            </w:pPr>
            <w:r w:rsidRPr="00B13657">
              <w:rPr>
                <w:rFonts w:ascii="Times New Roman" w:hAnsi="Times New Roman" w:cs="Times New Roman"/>
                <w:sz w:val="22"/>
                <w:szCs w:val="22"/>
              </w:rPr>
              <w:t>Separate ﬁnancial statements</w:t>
            </w:r>
            <w:r w:rsidRPr="00B13657">
              <w:rPr>
                <w:rFonts w:ascii="Times New Roman" w:hAnsi="Times New Roman" w:cs="Times New Roman"/>
                <w:sz w:val="22"/>
                <w:szCs w:val="22"/>
                <w:vertAlign w:val="superscript"/>
              </w:rPr>
              <w:t>a</w:t>
            </w:r>
            <w:r w:rsidRPr="00B13657">
              <w:rPr>
                <w:rFonts w:ascii="Times New Roman" w:hAnsi="Times New Roman" w:cs="Times New Roman"/>
                <w:sz w:val="22"/>
                <w:szCs w:val="22"/>
              </w:rPr>
              <w:t xml:space="preserve"> </w:t>
            </w:r>
          </w:p>
        </w:tc>
      </w:tr>
      <w:tr w:rsidR="00D2643B" w:rsidRPr="00F879DC" w14:paraId="41BFF958" w14:textId="77777777" w:rsidTr="00B13657">
        <w:tc>
          <w:tcPr>
            <w:tcW w:w="810" w:type="dxa"/>
          </w:tcPr>
          <w:p w14:paraId="3868EF93" w14:textId="77777777" w:rsidR="00D2643B" w:rsidRPr="00F879DC" w:rsidRDefault="00D2643B" w:rsidP="00D3346C">
            <w:pPr>
              <w:pStyle w:val="Tabletext"/>
            </w:pPr>
            <w:r w:rsidRPr="00F879DC">
              <w:t>IAS</w:t>
            </w:r>
          </w:p>
        </w:tc>
        <w:tc>
          <w:tcPr>
            <w:tcW w:w="630" w:type="dxa"/>
            <w:vAlign w:val="center"/>
          </w:tcPr>
          <w:p w14:paraId="2CBBA6AE" w14:textId="77777777" w:rsidR="00D2643B" w:rsidRPr="00F879DC" w:rsidRDefault="00D2643B" w:rsidP="00B13657">
            <w:pPr>
              <w:pStyle w:val="Tabletext"/>
              <w:jc w:val="center"/>
            </w:pPr>
            <w:r w:rsidRPr="00F879DC">
              <w:t>28</w:t>
            </w:r>
          </w:p>
        </w:tc>
        <w:tc>
          <w:tcPr>
            <w:tcW w:w="7295" w:type="dxa"/>
          </w:tcPr>
          <w:p w14:paraId="35F6379B" w14:textId="77777777" w:rsidR="00D2643B" w:rsidRPr="00B13657" w:rsidRDefault="00D2643B" w:rsidP="00D3346C">
            <w:pPr>
              <w:pStyle w:val="Tabletext"/>
              <w:rPr>
                <w:vertAlign w:val="superscript"/>
              </w:rPr>
            </w:pPr>
            <w:r w:rsidRPr="00F879DC">
              <w:t>Investments in associates</w:t>
            </w:r>
            <w:r>
              <w:t xml:space="preserve"> and joint ventures</w:t>
            </w:r>
            <w:r w:rsidRPr="00B13657">
              <w:rPr>
                <w:vertAlign w:val="superscript"/>
              </w:rPr>
              <w:t>b</w:t>
            </w:r>
          </w:p>
        </w:tc>
      </w:tr>
      <w:tr w:rsidR="00D2643B" w:rsidRPr="00F879DC" w14:paraId="1329E62A" w14:textId="77777777" w:rsidTr="00B13657">
        <w:tc>
          <w:tcPr>
            <w:tcW w:w="810" w:type="dxa"/>
          </w:tcPr>
          <w:p w14:paraId="7CCD7C1B" w14:textId="77777777" w:rsidR="00D2643B" w:rsidRPr="00F879DC" w:rsidRDefault="00D2643B" w:rsidP="00D3346C">
            <w:pPr>
              <w:pStyle w:val="Tabletext"/>
            </w:pPr>
            <w:r>
              <w:t xml:space="preserve">[IAS </w:t>
            </w:r>
          </w:p>
        </w:tc>
        <w:tc>
          <w:tcPr>
            <w:tcW w:w="630" w:type="dxa"/>
            <w:vAlign w:val="center"/>
          </w:tcPr>
          <w:p w14:paraId="721F2186" w14:textId="77777777" w:rsidR="00D2643B" w:rsidRPr="00F879DC" w:rsidRDefault="00D2643B" w:rsidP="00B13657">
            <w:pPr>
              <w:pStyle w:val="Tabletext"/>
              <w:jc w:val="center"/>
            </w:pPr>
            <w:r>
              <w:t>31</w:t>
            </w:r>
          </w:p>
        </w:tc>
        <w:tc>
          <w:tcPr>
            <w:tcW w:w="7295" w:type="dxa"/>
          </w:tcPr>
          <w:p w14:paraId="2F560C7D" w14:textId="77777777" w:rsidR="00D2643B" w:rsidRPr="00B13657" w:rsidRDefault="00D2643B" w:rsidP="00D3346C">
            <w:pPr>
              <w:pStyle w:val="Tabletext"/>
              <w:rPr>
                <w:vertAlign w:val="superscript"/>
              </w:rPr>
            </w:pPr>
            <w:r>
              <w:t>Interests in joint ventures]</w:t>
            </w:r>
            <w:r w:rsidRPr="00B13657">
              <w:rPr>
                <w:vertAlign w:val="superscript"/>
              </w:rPr>
              <w:t>c</w:t>
            </w:r>
          </w:p>
        </w:tc>
      </w:tr>
      <w:tr w:rsidR="00D2643B" w:rsidRPr="00F879DC" w14:paraId="18A68157" w14:textId="77777777" w:rsidTr="00B13657">
        <w:tc>
          <w:tcPr>
            <w:tcW w:w="810" w:type="dxa"/>
          </w:tcPr>
          <w:p w14:paraId="496F8910" w14:textId="77777777" w:rsidR="00D2643B" w:rsidRPr="00F879DC" w:rsidRDefault="00D2643B" w:rsidP="00D3346C">
            <w:pPr>
              <w:pStyle w:val="Tabletext"/>
            </w:pPr>
            <w:r w:rsidRPr="00F879DC">
              <w:t>IAS</w:t>
            </w:r>
          </w:p>
        </w:tc>
        <w:tc>
          <w:tcPr>
            <w:tcW w:w="630" w:type="dxa"/>
            <w:vAlign w:val="center"/>
          </w:tcPr>
          <w:p w14:paraId="56EA004E" w14:textId="77777777" w:rsidR="00D2643B" w:rsidRPr="00F879DC" w:rsidRDefault="00D2643B" w:rsidP="00B13657">
            <w:pPr>
              <w:pStyle w:val="Tabletext"/>
              <w:jc w:val="center"/>
            </w:pPr>
            <w:r w:rsidRPr="00F879DC">
              <w:t>32</w:t>
            </w:r>
          </w:p>
        </w:tc>
        <w:tc>
          <w:tcPr>
            <w:tcW w:w="7295" w:type="dxa"/>
          </w:tcPr>
          <w:p w14:paraId="6A1A93D7" w14:textId="77777777" w:rsidR="00D2643B" w:rsidRPr="00F879DC" w:rsidRDefault="00D2643B" w:rsidP="00D3346C">
            <w:pPr>
              <w:pStyle w:val="Tabletext"/>
            </w:pPr>
            <w:r w:rsidRPr="00F879DC">
              <w:t>Financial instruments: presentation</w:t>
            </w:r>
          </w:p>
        </w:tc>
      </w:tr>
      <w:tr w:rsidR="00D2643B" w:rsidRPr="00F879DC" w14:paraId="6884A398" w14:textId="77777777" w:rsidTr="00B13657">
        <w:tc>
          <w:tcPr>
            <w:tcW w:w="810" w:type="dxa"/>
          </w:tcPr>
          <w:p w14:paraId="46BC9F1A" w14:textId="77777777" w:rsidR="00D2643B" w:rsidRPr="00F879DC" w:rsidRDefault="00D2643B" w:rsidP="00D3346C">
            <w:pPr>
              <w:pStyle w:val="Tabletext"/>
            </w:pPr>
            <w:r w:rsidRPr="00F879DC">
              <w:t>IAS</w:t>
            </w:r>
          </w:p>
        </w:tc>
        <w:tc>
          <w:tcPr>
            <w:tcW w:w="630" w:type="dxa"/>
            <w:vAlign w:val="center"/>
          </w:tcPr>
          <w:p w14:paraId="4D3080A3" w14:textId="77777777" w:rsidR="00D2643B" w:rsidRPr="00F879DC" w:rsidRDefault="00D2643B" w:rsidP="00B13657">
            <w:pPr>
              <w:pStyle w:val="Tabletext"/>
              <w:jc w:val="center"/>
            </w:pPr>
            <w:r w:rsidRPr="00F879DC">
              <w:t>36</w:t>
            </w:r>
          </w:p>
        </w:tc>
        <w:tc>
          <w:tcPr>
            <w:tcW w:w="7295" w:type="dxa"/>
          </w:tcPr>
          <w:p w14:paraId="58C3BF09" w14:textId="77777777" w:rsidR="00D2643B" w:rsidRPr="00F879DC" w:rsidRDefault="00D2643B" w:rsidP="00D3346C">
            <w:pPr>
              <w:pStyle w:val="Tabletext"/>
            </w:pPr>
            <w:r w:rsidRPr="00F879DC">
              <w:t>Impairment of assets</w:t>
            </w:r>
          </w:p>
        </w:tc>
      </w:tr>
      <w:tr w:rsidR="00D2643B" w:rsidRPr="00F879DC" w14:paraId="678F8DF9" w14:textId="77777777" w:rsidTr="00B13657">
        <w:tc>
          <w:tcPr>
            <w:tcW w:w="810" w:type="dxa"/>
          </w:tcPr>
          <w:p w14:paraId="4384EA91" w14:textId="77777777" w:rsidR="00D2643B" w:rsidRPr="00F879DC" w:rsidRDefault="00D2643B" w:rsidP="00D3346C">
            <w:pPr>
              <w:pStyle w:val="Tabletext"/>
            </w:pPr>
            <w:r w:rsidRPr="00F879DC">
              <w:t>IAS</w:t>
            </w:r>
          </w:p>
        </w:tc>
        <w:tc>
          <w:tcPr>
            <w:tcW w:w="630" w:type="dxa"/>
            <w:vAlign w:val="center"/>
          </w:tcPr>
          <w:p w14:paraId="5D27892D" w14:textId="77777777" w:rsidR="00D2643B" w:rsidRPr="00F879DC" w:rsidRDefault="00D2643B" w:rsidP="00B13657">
            <w:pPr>
              <w:pStyle w:val="Tabletext"/>
              <w:jc w:val="center"/>
            </w:pPr>
            <w:r w:rsidRPr="00F879DC">
              <w:t>37</w:t>
            </w:r>
          </w:p>
        </w:tc>
        <w:tc>
          <w:tcPr>
            <w:tcW w:w="7295" w:type="dxa"/>
          </w:tcPr>
          <w:p w14:paraId="50C66EA5" w14:textId="77777777" w:rsidR="00D2643B" w:rsidRPr="00F879DC" w:rsidRDefault="00D2643B" w:rsidP="00D3346C">
            <w:pPr>
              <w:pStyle w:val="Tabletext"/>
            </w:pPr>
            <w:r w:rsidRPr="00F879DC">
              <w:t>Provisions, contingent liabilities and contingent assets</w:t>
            </w:r>
          </w:p>
        </w:tc>
      </w:tr>
      <w:tr w:rsidR="00D2643B" w:rsidRPr="00F879DC" w14:paraId="3D225FA5" w14:textId="77777777" w:rsidTr="00B13657">
        <w:tc>
          <w:tcPr>
            <w:tcW w:w="810" w:type="dxa"/>
          </w:tcPr>
          <w:p w14:paraId="09468817" w14:textId="77777777" w:rsidR="00D2643B" w:rsidRPr="00F879DC" w:rsidRDefault="00D2643B" w:rsidP="00D3346C">
            <w:pPr>
              <w:pStyle w:val="Tabletext"/>
            </w:pPr>
            <w:r w:rsidRPr="00F879DC">
              <w:t>IAS</w:t>
            </w:r>
          </w:p>
        </w:tc>
        <w:tc>
          <w:tcPr>
            <w:tcW w:w="630" w:type="dxa"/>
            <w:vAlign w:val="center"/>
          </w:tcPr>
          <w:p w14:paraId="71DF8CC8" w14:textId="77777777" w:rsidR="00D2643B" w:rsidRPr="00F879DC" w:rsidRDefault="00D2643B" w:rsidP="00B13657">
            <w:pPr>
              <w:pStyle w:val="Tabletext"/>
              <w:jc w:val="center"/>
            </w:pPr>
            <w:r w:rsidRPr="00F879DC">
              <w:t>38</w:t>
            </w:r>
          </w:p>
        </w:tc>
        <w:tc>
          <w:tcPr>
            <w:tcW w:w="7295" w:type="dxa"/>
          </w:tcPr>
          <w:p w14:paraId="2828B7DD" w14:textId="77777777" w:rsidR="00D2643B" w:rsidRPr="00F879DC" w:rsidRDefault="00D2643B" w:rsidP="00D3346C">
            <w:pPr>
              <w:pStyle w:val="Tabletext"/>
            </w:pPr>
            <w:r w:rsidRPr="00F879DC">
              <w:t>Intangible assets</w:t>
            </w:r>
          </w:p>
        </w:tc>
      </w:tr>
      <w:tr w:rsidR="00D2643B" w:rsidRPr="00F879DC" w14:paraId="1E6B6FE3" w14:textId="77777777" w:rsidTr="00B13657">
        <w:tc>
          <w:tcPr>
            <w:tcW w:w="810" w:type="dxa"/>
          </w:tcPr>
          <w:p w14:paraId="6ABC05EB" w14:textId="77777777" w:rsidR="00D2643B" w:rsidRPr="00F879DC" w:rsidRDefault="00D2643B" w:rsidP="00D3346C">
            <w:pPr>
              <w:pStyle w:val="Tabletext"/>
            </w:pPr>
            <w:r w:rsidRPr="00F879DC">
              <w:t>IAS</w:t>
            </w:r>
          </w:p>
        </w:tc>
        <w:tc>
          <w:tcPr>
            <w:tcW w:w="630" w:type="dxa"/>
            <w:vAlign w:val="center"/>
          </w:tcPr>
          <w:p w14:paraId="4A3C056D" w14:textId="77777777" w:rsidR="00D2643B" w:rsidRPr="00F879DC" w:rsidRDefault="00D2643B" w:rsidP="00B13657">
            <w:pPr>
              <w:pStyle w:val="Tabletext"/>
              <w:jc w:val="center"/>
            </w:pPr>
            <w:r w:rsidRPr="00F879DC">
              <w:t>39</w:t>
            </w:r>
          </w:p>
        </w:tc>
        <w:tc>
          <w:tcPr>
            <w:tcW w:w="7295" w:type="dxa"/>
          </w:tcPr>
          <w:p w14:paraId="7BA90681" w14:textId="77777777" w:rsidR="00D2643B" w:rsidRPr="00F879DC" w:rsidRDefault="00D2643B" w:rsidP="00D3346C">
            <w:pPr>
              <w:pStyle w:val="Tabletext"/>
            </w:pPr>
            <w:r w:rsidRPr="00F879DC">
              <w:t>Financial instruments: recognition and measurement</w:t>
            </w:r>
          </w:p>
        </w:tc>
      </w:tr>
      <w:tr w:rsidR="00D2643B" w:rsidRPr="00F879DC" w14:paraId="1CEB1865" w14:textId="77777777" w:rsidTr="00B13657">
        <w:tc>
          <w:tcPr>
            <w:tcW w:w="810" w:type="dxa"/>
          </w:tcPr>
          <w:p w14:paraId="1AB01608" w14:textId="77777777" w:rsidR="00D2643B" w:rsidRPr="00F879DC" w:rsidRDefault="00D2643B" w:rsidP="00D3346C">
            <w:pPr>
              <w:pStyle w:val="Tabletext"/>
            </w:pPr>
            <w:r w:rsidRPr="00F879DC">
              <w:t>IAS</w:t>
            </w:r>
          </w:p>
        </w:tc>
        <w:tc>
          <w:tcPr>
            <w:tcW w:w="630" w:type="dxa"/>
            <w:vAlign w:val="center"/>
          </w:tcPr>
          <w:p w14:paraId="7049FE14" w14:textId="77777777" w:rsidR="00D2643B" w:rsidRPr="00F879DC" w:rsidRDefault="00D2643B" w:rsidP="00B13657">
            <w:pPr>
              <w:pStyle w:val="Tabletext"/>
              <w:jc w:val="center"/>
            </w:pPr>
            <w:r w:rsidRPr="00F879DC">
              <w:t>40</w:t>
            </w:r>
          </w:p>
        </w:tc>
        <w:tc>
          <w:tcPr>
            <w:tcW w:w="7295" w:type="dxa"/>
          </w:tcPr>
          <w:p w14:paraId="61A548EA" w14:textId="77777777" w:rsidR="00D2643B" w:rsidRPr="00F879DC" w:rsidRDefault="00D2643B" w:rsidP="00D3346C">
            <w:pPr>
              <w:pStyle w:val="Tabletext"/>
            </w:pPr>
            <w:r w:rsidRPr="00F879DC">
              <w:t>Investment property</w:t>
            </w:r>
          </w:p>
        </w:tc>
      </w:tr>
      <w:tr w:rsidR="00D2643B" w:rsidRPr="00F879DC" w14:paraId="5AF2592A" w14:textId="77777777" w:rsidTr="00B13657">
        <w:tc>
          <w:tcPr>
            <w:tcW w:w="810" w:type="dxa"/>
          </w:tcPr>
          <w:p w14:paraId="021396F0" w14:textId="77777777" w:rsidR="00D2643B" w:rsidRPr="00F879DC" w:rsidRDefault="00D2643B" w:rsidP="00D3346C">
            <w:pPr>
              <w:pStyle w:val="Tabletext"/>
            </w:pPr>
            <w:r w:rsidRPr="00F879DC">
              <w:t>IAS</w:t>
            </w:r>
          </w:p>
        </w:tc>
        <w:tc>
          <w:tcPr>
            <w:tcW w:w="630" w:type="dxa"/>
            <w:vAlign w:val="center"/>
          </w:tcPr>
          <w:p w14:paraId="44922A29" w14:textId="77777777" w:rsidR="00D2643B" w:rsidRPr="00F879DC" w:rsidRDefault="00D2643B" w:rsidP="00B13657">
            <w:pPr>
              <w:pStyle w:val="Tabletext"/>
              <w:jc w:val="center"/>
            </w:pPr>
            <w:r w:rsidRPr="00F879DC">
              <w:t>41</w:t>
            </w:r>
          </w:p>
        </w:tc>
        <w:tc>
          <w:tcPr>
            <w:tcW w:w="7295" w:type="dxa"/>
          </w:tcPr>
          <w:p w14:paraId="366850D9" w14:textId="77777777" w:rsidR="00D2643B" w:rsidRPr="00F879DC" w:rsidRDefault="00D2643B" w:rsidP="00D3346C">
            <w:pPr>
              <w:pStyle w:val="Tabletext"/>
            </w:pPr>
            <w:r w:rsidRPr="00F879DC">
              <w:t>Agriculture</w:t>
            </w:r>
          </w:p>
        </w:tc>
      </w:tr>
      <w:tr w:rsidR="00D2643B" w:rsidRPr="00F879DC" w14:paraId="47F66A38" w14:textId="77777777" w:rsidTr="00B13657">
        <w:tc>
          <w:tcPr>
            <w:tcW w:w="810" w:type="dxa"/>
          </w:tcPr>
          <w:p w14:paraId="1E539346" w14:textId="77777777" w:rsidR="00D2643B" w:rsidRPr="00F879DC" w:rsidRDefault="00D2643B" w:rsidP="00D3346C">
            <w:pPr>
              <w:pStyle w:val="Tabletext"/>
            </w:pPr>
            <w:r w:rsidRPr="00F879DC">
              <w:t>IFRS</w:t>
            </w:r>
          </w:p>
        </w:tc>
        <w:tc>
          <w:tcPr>
            <w:tcW w:w="630" w:type="dxa"/>
            <w:vAlign w:val="center"/>
          </w:tcPr>
          <w:p w14:paraId="0745B74E" w14:textId="77777777" w:rsidR="00D2643B" w:rsidRPr="00F879DC" w:rsidRDefault="00D2643B" w:rsidP="00B13657">
            <w:pPr>
              <w:pStyle w:val="Tabletext"/>
              <w:jc w:val="center"/>
            </w:pPr>
            <w:r w:rsidRPr="00F879DC">
              <w:t>1</w:t>
            </w:r>
          </w:p>
        </w:tc>
        <w:tc>
          <w:tcPr>
            <w:tcW w:w="7295" w:type="dxa"/>
          </w:tcPr>
          <w:p w14:paraId="1895DAC5" w14:textId="77777777" w:rsidR="00D2643B" w:rsidRPr="00F879DC" w:rsidRDefault="00D2643B" w:rsidP="00D3346C">
            <w:pPr>
              <w:pStyle w:val="Tabletext"/>
            </w:pPr>
            <w:r>
              <w:t>First-time adoption of International Financial Reporting Standards</w:t>
            </w:r>
          </w:p>
        </w:tc>
      </w:tr>
      <w:tr w:rsidR="00D2643B" w:rsidRPr="00F879DC" w14:paraId="2B89DE9F" w14:textId="77777777" w:rsidTr="00B13657">
        <w:tc>
          <w:tcPr>
            <w:tcW w:w="810" w:type="dxa"/>
          </w:tcPr>
          <w:p w14:paraId="5355B817" w14:textId="77777777" w:rsidR="00D2643B" w:rsidRPr="00F879DC" w:rsidRDefault="00D2643B" w:rsidP="00D3346C">
            <w:pPr>
              <w:pStyle w:val="Tabletext"/>
            </w:pPr>
            <w:r w:rsidRPr="00F879DC">
              <w:t>IFRS</w:t>
            </w:r>
          </w:p>
        </w:tc>
        <w:tc>
          <w:tcPr>
            <w:tcW w:w="630" w:type="dxa"/>
            <w:vAlign w:val="center"/>
          </w:tcPr>
          <w:p w14:paraId="1A842AB7" w14:textId="77777777" w:rsidR="00D2643B" w:rsidRPr="00F879DC" w:rsidRDefault="00D2643B" w:rsidP="00B13657">
            <w:pPr>
              <w:pStyle w:val="Tabletext"/>
              <w:jc w:val="center"/>
            </w:pPr>
            <w:r w:rsidRPr="00F879DC">
              <w:t>2</w:t>
            </w:r>
          </w:p>
        </w:tc>
        <w:tc>
          <w:tcPr>
            <w:tcW w:w="7295" w:type="dxa"/>
          </w:tcPr>
          <w:p w14:paraId="5B677895" w14:textId="77777777" w:rsidR="00D2643B" w:rsidRPr="00F879DC" w:rsidRDefault="00D2643B" w:rsidP="00D3346C">
            <w:pPr>
              <w:pStyle w:val="Tabletext"/>
            </w:pPr>
            <w:r w:rsidRPr="00F879DC">
              <w:t>Share-based payment</w:t>
            </w:r>
          </w:p>
        </w:tc>
      </w:tr>
      <w:tr w:rsidR="00D2643B" w:rsidRPr="00F879DC" w14:paraId="1A2A7E92" w14:textId="77777777" w:rsidTr="00B13657">
        <w:tc>
          <w:tcPr>
            <w:tcW w:w="810" w:type="dxa"/>
          </w:tcPr>
          <w:p w14:paraId="632E4237" w14:textId="77777777" w:rsidR="00D2643B" w:rsidRPr="00F879DC" w:rsidRDefault="00D2643B" w:rsidP="00D3346C">
            <w:pPr>
              <w:pStyle w:val="Tabletext"/>
            </w:pPr>
            <w:r w:rsidRPr="00F879DC">
              <w:t>IFRS</w:t>
            </w:r>
          </w:p>
        </w:tc>
        <w:tc>
          <w:tcPr>
            <w:tcW w:w="630" w:type="dxa"/>
            <w:vAlign w:val="center"/>
          </w:tcPr>
          <w:p w14:paraId="00AF2AA0" w14:textId="77777777" w:rsidR="00D2643B" w:rsidRPr="00F879DC" w:rsidRDefault="00D2643B" w:rsidP="00B13657">
            <w:pPr>
              <w:pStyle w:val="Tabletext"/>
              <w:jc w:val="center"/>
            </w:pPr>
            <w:r w:rsidRPr="00F879DC">
              <w:t>3</w:t>
            </w:r>
          </w:p>
        </w:tc>
        <w:tc>
          <w:tcPr>
            <w:tcW w:w="7295" w:type="dxa"/>
          </w:tcPr>
          <w:p w14:paraId="5B02EC27" w14:textId="77777777" w:rsidR="00D2643B" w:rsidRPr="00F879DC" w:rsidRDefault="00D2643B" w:rsidP="00D3346C">
            <w:pPr>
              <w:pStyle w:val="Tabletext"/>
            </w:pPr>
            <w:r w:rsidRPr="00F879DC">
              <w:t>Business combinations</w:t>
            </w:r>
          </w:p>
        </w:tc>
      </w:tr>
      <w:tr w:rsidR="00D2643B" w:rsidRPr="00F879DC" w14:paraId="31F3A7C6" w14:textId="77777777" w:rsidTr="00B13657">
        <w:tc>
          <w:tcPr>
            <w:tcW w:w="810" w:type="dxa"/>
          </w:tcPr>
          <w:p w14:paraId="6B466347" w14:textId="77777777" w:rsidR="00D2643B" w:rsidRPr="00F879DC" w:rsidRDefault="00D2643B" w:rsidP="00D3346C">
            <w:pPr>
              <w:pStyle w:val="Tabletext"/>
            </w:pPr>
            <w:r w:rsidRPr="00F879DC">
              <w:lastRenderedPageBreak/>
              <w:t>IFRS</w:t>
            </w:r>
          </w:p>
        </w:tc>
        <w:tc>
          <w:tcPr>
            <w:tcW w:w="630" w:type="dxa"/>
            <w:vAlign w:val="center"/>
          </w:tcPr>
          <w:p w14:paraId="065B9C7F" w14:textId="77777777" w:rsidR="00D2643B" w:rsidRPr="00F879DC" w:rsidRDefault="00D2643B" w:rsidP="00B13657">
            <w:pPr>
              <w:pStyle w:val="Tabletext"/>
              <w:jc w:val="center"/>
            </w:pPr>
            <w:r w:rsidRPr="00F879DC">
              <w:t>4</w:t>
            </w:r>
          </w:p>
        </w:tc>
        <w:tc>
          <w:tcPr>
            <w:tcW w:w="7295" w:type="dxa"/>
          </w:tcPr>
          <w:p w14:paraId="038F77CD" w14:textId="77777777" w:rsidR="00D2643B" w:rsidRPr="00F879DC" w:rsidRDefault="00D2643B" w:rsidP="00D3346C">
            <w:pPr>
              <w:pStyle w:val="Tabletext"/>
            </w:pPr>
            <w:r w:rsidRPr="00F879DC">
              <w:t>Insurance contracts</w:t>
            </w:r>
          </w:p>
        </w:tc>
      </w:tr>
      <w:tr w:rsidR="00D2643B" w:rsidRPr="00F879DC" w14:paraId="5934A138" w14:textId="77777777" w:rsidTr="00B13657">
        <w:tc>
          <w:tcPr>
            <w:tcW w:w="810" w:type="dxa"/>
          </w:tcPr>
          <w:p w14:paraId="6B782886" w14:textId="77777777" w:rsidR="00D2643B" w:rsidRPr="00F879DC" w:rsidRDefault="00D2643B" w:rsidP="00D3346C">
            <w:pPr>
              <w:pStyle w:val="Tabletext"/>
            </w:pPr>
            <w:r w:rsidRPr="00F879DC">
              <w:t>IFRS</w:t>
            </w:r>
          </w:p>
        </w:tc>
        <w:tc>
          <w:tcPr>
            <w:tcW w:w="630" w:type="dxa"/>
            <w:vAlign w:val="center"/>
          </w:tcPr>
          <w:p w14:paraId="7BB79576" w14:textId="77777777" w:rsidR="00D2643B" w:rsidRPr="00F879DC" w:rsidRDefault="00D2643B" w:rsidP="00B13657">
            <w:pPr>
              <w:pStyle w:val="Tabletext"/>
              <w:jc w:val="center"/>
            </w:pPr>
            <w:r w:rsidRPr="00F879DC">
              <w:t>5</w:t>
            </w:r>
          </w:p>
        </w:tc>
        <w:tc>
          <w:tcPr>
            <w:tcW w:w="7295" w:type="dxa"/>
          </w:tcPr>
          <w:p w14:paraId="4CEDC894" w14:textId="77777777" w:rsidR="00D2643B" w:rsidRPr="00F879DC" w:rsidRDefault="00D2643B" w:rsidP="00D3346C">
            <w:pPr>
              <w:pStyle w:val="Tabletext"/>
            </w:pPr>
            <w:r w:rsidRPr="00F879DC">
              <w:t>Non-current assets held for sale and discontinued operations</w:t>
            </w:r>
          </w:p>
        </w:tc>
      </w:tr>
      <w:tr w:rsidR="00D2643B" w:rsidRPr="00F879DC" w14:paraId="773D8264" w14:textId="77777777" w:rsidTr="00B13657">
        <w:tc>
          <w:tcPr>
            <w:tcW w:w="810" w:type="dxa"/>
          </w:tcPr>
          <w:p w14:paraId="5319B7CF" w14:textId="77777777" w:rsidR="00D2643B" w:rsidRPr="00F879DC" w:rsidRDefault="00D2643B" w:rsidP="00D3346C">
            <w:pPr>
              <w:pStyle w:val="Tabletext"/>
            </w:pPr>
            <w:r w:rsidRPr="00F879DC">
              <w:t>IFRS</w:t>
            </w:r>
          </w:p>
        </w:tc>
        <w:tc>
          <w:tcPr>
            <w:tcW w:w="630" w:type="dxa"/>
            <w:vAlign w:val="center"/>
          </w:tcPr>
          <w:p w14:paraId="1CAD7191" w14:textId="77777777" w:rsidR="00D2643B" w:rsidRPr="00F879DC" w:rsidRDefault="00D2643B" w:rsidP="00B13657">
            <w:pPr>
              <w:pStyle w:val="Tabletext"/>
              <w:jc w:val="center"/>
            </w:pPr>
            <w:r w:rsidRPr="00F879DC">
              <w:t>6</w:t>
            </w:r>
          </w:p>
        </w:tc>
        <w:tc>
          <w:tcPr>
            <w:tcW w:w="7295" w:type="dxa"/>
          </w:tcPr>
          <w:p w14:paraId="44EA9AB2" w14:textId="77777777" w:rsidR="00D2643B" w:rsidRPr="00F879DC" w:rsidRDefault="00D2643B" w:rsidP="00D3346C">
            <w:pPr>
              <w:pStyle w:val="Tabletext"/>
            </w:pPr>
            <w:r w:rsidRPr="00F879DC">
              <w:t>Exploration for and evaluation of mineral resources</w:t>
            </w:r>
          </w:p>
        </w:tc>
      </w:tr>
      <w:tr w:rsidR="00D2643B" w:rsidRPr="00F879DC" w14:paraId="651B7780" w14:textId="77777777" w:rsidTr="00B13657">
        <w:tc>
          <w:tcPr>
            <w:tcW w:w="810" w:type="dxa"/>
          </w:tcPr>
          <w:p w14:paraId="0DC02D78" w14:textId="77777777" w:rsidR="00D2643B" w:rsidRPr="00F879DC" w:rsidRDefault="00D2643B" w:rsidP="00D3346C">
            <w:pPr>
              <w:pStyle w:val="Tabletext"/>
            </w:pPr>
            <w:r w:rsidRPr="00F879DC">
              <w:t>IFRS</w:t>
            </w:r>
          </w:p>
        </w:tc>
        <w:tc>
          <w:tcPr>
            <w:tcW w:w="630" w:type="dxa"/>
            <w:vAlign w:val="center"/>
          </w:tcPr>
          <w:p w14:paraId="209D00E1" w14:textId="77777777" w:rsidR="00D2643B" w:rsidRPr="00F879DC" w:rsidRDefault="00D2643B" w:rsidP="00B13657">
            <w:pPr>
              <w:pStyle w:val="Tabletext"/>
              <w:jc w:val="center"/>
            </w:pPr>
            <w:r w:rsidRPr="00F879DC">
              <w:t>7</w:t>
            </w:r>
          </w:p>
        </w:tc>
        <w:tc>
          <w:tcPr>
            <w:tcW w:w="7295" w:type="dxa"/>
          </w:tcPr>
          <w:p w14:paraId="423778A0" w14:textId="77777777" w:rsidR="00D2643B" w:rsidRPr="00F879DC" w:rsidRDefault="00D2643B" w:rsidP="00D3346C">
            <w:pPr>
              <w:pStyle w:val="Tabletext"/>
            </w:pPr>
            <w:r w:rsidRPr="00F879DC">
              <w:t>Financial instruments: disclosures</w:t>
            </w:r>
          </w:p>
        </w:tc>
      </w:tr>
      <w:tr w:rsidR="00D2643B" w:rsidRPr="00F879DC" w14:paraId="5349632D" w14:textId="77777777" w:rsidTr="00B13657">
        <w:tc>
          <w:tcPr>
            <w:tcW w:w="810" w:type="dxa"/>
          </w:tcPr>
          <w:p w14:paraId="69C4607C" w14:textId="77777777" w:rsidR="00D2643B" w:rsidRPr="00F879DC" w:rsidRDefault="00D2643B" w:rsidP="00D3346C">
            <w:pPr>
              <w:pStyle w:val="Tabletext"/>
            </w:pPr>
            <w:r w:rsidRPr="00F879DC">
              <w:t>IFRS</w:t>
            </w:r>
          </w:p>
        </w:tc>
        <w:tc>
          <w:tcPr>
            <w:tcW w:w="630" w:type="dxa"/>
            <w:vAlign w:val="center"/>
          </w:tcPr>
          <w:p w14:paraId="2DB65FF9" w14:textId="77777777" w:rsidR="00D2643B" w:rsidRPr="00F879DC" w:rsidRDefault="00D2643B" w:rsidP="00B13657">
            <w:pPr>
              <w:pStyle w:val="Tabletext"/>
              <w:jc w:val="center"/>
            </w:pPr>
            <w:r w:rsidRPr="00F879DC">
              <w:t>8</w:t>
            </w:r>
          </w:p>
        </w:tc>
        <w:tc>
          <w:tcPr>
            <w:tcW w:w="7295" w:type="dxa"/>
          </w:tcPr>
          <w:p w14:paraId="488C8EA6" w14:textId="77777777" w:rsidR="00D2643B" w:rsidRPr="00F879DC" w:rsidRDefault="00D2643B" w:rsidP="00D3346C">
            <w:pPr>
              <w:pStyle w:val="Tabletext"/>
            </w:pPr>
            <w:r w:rsidRPr="00F879DC">
              <w:t>Operating segments</w:t>
            </w:r>
          </w:p>
        </w:tc>
      </w:tr>
      <w:tr w:rsidR="00D2643B" w:rsidRPr="00F879DC" w14:paraId="41234FA1" w14:textId="77777777" w:rsidTr="00B13657">
        <w:tc>
          <w:tcPr>
            <w:tcW w:w="810" w:type="dxa"/>
          </w:tcPr>
          <w:p w14:paraId="416E8C44" w14:textId="77777777" w:rsidR="00D2643B" w:rsidRPr="00F879DC" w:rsidRDefault="00D2643B" w:rsidP="00D3346C">
            <w:pPr>
              <w:pStyle w:val="Tabletext"/>
            </w:pPr>
            <w:r w:rsidRPr="00F879DC">
              <w:t>IFRS</w:t>
            </w:r>
          </w:p>
        </w:tc>
        <w:tc>
          <w:tcPr>
            <w:tcW w:w="630" w:type="dxa"/>
            <w:vAlign w:val="center"/>
          </w:tcPr>
          <w:p w14:paraId="4907DB27" w14:textId="77777777" w:rsidR="00D2643B" w:rsidRPr="00F879DC" w:rsidRDefault="00D2643B" w:rsidP="00B13657">
            <w:pPr>
              <w:pStyle w:val="Tabletext"/>
              <w:jc w:val="center"/>
            </w:pPr>
            <w:r w:rsidRPr="00F879DC">
              <w:t>9</w:t>
            </w:r>
          </w:p>
        </w:tc>
        <w:tc>
          <w:tcPr>
            <w:tcW w:w="7295" w:type="dxa"/>
          </w:tcPr>
          <w:p w14:paraId="4D6F47D3" w14:textId="77777777" w:rsidR="00D2643B" w:rsidRPr="00F879DC" w:rsidRDefault="00D2643B" w:rsidP="00D3346C">
            <w:pPr>
              <w:pStyle w:val="Tabletext"/>
            </w:pPr>
            <w:r w:rsidRPr="00F879DC">
              <w:t>Financial instruments</w:t>
            </w:r>
          </w:p>
        </w:tc>
      </w:tr>
      <w:tr w:rsidR="00D2643B" w:rsidRPr="00F879DC" w14:paraId="2ECE7B59" w14:textId="77777777" w:rsidTr="00B13657">
        <w:tc>
          <w:tcPr>
            <w:tcW w:w="810" w:type="dxa"/>
          </w:tcPr>
          <w:p w14:paraId="02B2B580" w14:textId="77777777" w:rsidR="00D2643B" w:rsidRPr="00F879DC" w:rsidRDefault="00D2643B" w:rsidP="00990C6E">
            <w:pPr>
              <w:pStyle w:val="Tabletext"/>
            </w:pPr>
            <w:r>
              <w:t xml:space="preserve">IFRS                 </w:t>
            </w:r>
          </w:p>
        </w:tc>
        <w:tc>
          <w:tcPr>
            <w:tcW w:w="630" w:type="dxa"/>
            <w:vAlign w:val="center"/>
          </w:tcPr>
          <w:p w14:paraId="1CE99318" w14:textId="77777777" w:rsidR="00D2643B" w:rsidRPr="00F879DC" w:rsidRDefault="00D2643B" w:rsidP="00B13657">
            <w:pPr>
              <w:pStyle w:val="Tabletext"/>
              <w:jc w:val="center"/>
            </w:pPr>
            <w:r>
              <w:t>10</w:t>
            </w:r>
          </w:p>
        </w:tc>
        <w:tc>
          <w:tcPr>
            <w:tcW w:w="7295" w:type="dxa"/>
          </w:tcPr>
          <w:p w14:paraId="47BCBDE9" w14:textId="77777777" w:rsidR="00D2643B" w:rsidRPr="00F879DC" w:rsidRDefault="00D2643B" w:rsidP="00D3346C">
            <w:pPr>
              <w:pStyle w:val="Tabletext"/>
            </w:pPr>
            <w:r>
              <w:t>Consolidated financial statements.</w:t>
            </w:r>
          </w:p>
        </w:tc>
      </w:tr>
      <w:tr w:rsidR="00D2643B" w:rsidRPr="00F879DC" w14:paraId="3CA43832" w14:textId="77777777" w:rsidTr="00B13657">
        <w:tc>
          <w:tcPr>
            <w:tcW w:w="810" w:type="dxa"/>
          </w:tcPr>
          <w:p w14:paraId="425EC7CB" w14:textId="77777777" w:rsidR="00D2643B" w:rsidRPr="00F879DC" w:rsidRDefault="00D2643B" w:rsidP="00D3346C">
            <w:pPr>
              <w:pStyle w:val="Tabletext"/>
            </w:pPr>
            <w:r>
              <w:t>IFRS</w:t>
            </w:r>
          </w:p>
        </w:tc>
        <w:tc>
          <w:tcPr>
            <w:tcW w:w="630" w:type="dxa"/>
            <w:vAlign w:val="center"/>
          </w:tcPr>
          <w:p w14:paraId="49239501" w14:textId="77777777" w:rsidR="00D2643B" w:rsidRPr="00F879DC" w:rsidRDefault="00D2643B" w:rsidP="00B13657">
            <w:pPr>
              <w:pStyle w:val="Tabletext"/>
              <w:jc w:val="center"/>
            </w:pPr>
            <w:r>
              <w:t>11</w:t>
            </w:r>
          </w:p>
        </w:tc>
        <w:tc>
          <w:tcPr>
            <w:tcW w:w="7295" w:type="dxa"/>
          </w:tcPr>
          <w:p w14:paraId="75183488" w14:textId="77777777" w:rsidR="00D2643B" w:rsidRPr="00F879DC" w:rsidRDefault="00D2643B" w:rsidP="00D3346C">
            <w:pPr>
              <w:pStyle w:val="Tabletext"/>
            </w:pPr>
            <w:r>
              <w:t>Joint arrangements</w:t>
            </w:r>
          </w:p>
        </w:tc>
      </w:tr>
      <w:tr w:rsidR="00D2643B" w:rsidRPr="00F879DC" w14:paraId="397C6703" w14:textId="77777777" w:rsidTr="00B13657">
        <w:tc>
          <w:tcPr>
            <w:tcW w:w="810" w:type="dxa"/>
          </w:tcPr>
          <w:p w14:paraId="030CBA7F" w14:textId="77777777" w:rsidR="00D2643B" w:rsidRPr="00F879DC" w:rsidRDefault="00D2643B" w:rsidP="00D3346C">
            <w:pPr>
              <w:pStyle w:val="Tabletext"/>
            </w:pPr>
            <w:r>
              <w:t>IFRS</w:t>
            </w:r>
          </w:p>
        </w:tc>
        <w:tc>
          <w:tcPr>
            <w:tcW w:w="630" w:type="dxa"/>
            <w:vAlign w:val="center"/>
          </w:tcPr>
          <w:p w14:paraId="1A5B55EF" w14:textId="77777777" w:rsidR="00D2643B" w:rsidRPr="00F879DC" w:rsidRDefault="00D2643B" w:rsidP="00B13657">
            <w:pPr>
              <w:pStyle w:val="Tabletext"/>
              <w:jc w:val="center"/>
            </w:pPr>
            <w:r>
              <w:t>12</w:t>
            </w:r>
          </w:p>
        </w:tc>
        <w:tc>
          <w:tcPr>
            <w:tcW w:w="7295" w:type="dxa"/>
          </w:tcPr>
          <w:p w14:paraId="3CFC635B" w14:textId="77777777" w:rsidR="00D2643B" w:rsidRPr="00F879DC" w:rsidRDefault="00D2643B" w:rsidP="00D3346C">
            <w:pPr>
              <w:pStyle w:val="Tabletext"/>
            </w:pPr>
            <w:r>
              <w:t>Disclosures of interests in other entities</w:t>
            </w:r>
          </w:p>
        </w:tc>
      </w:tr>
      <w:tr w:rsidR="00D2643B" w:rsidRPr="00F879DC" w14:paraId="2D42A3E0" w14:textId="77777777" w:rsidTr="00B13657">
        <w:tc>
          <w:tcPr>
            <w:tcW w:w="810" w:type="dxa"/>
            <w:tcBorders>
              <w:bottom w:val="single" w:sz="4" w:space="0" w:color="auto"/>
            </w:tcBorders>
          </w:tcPr>
          <w:p w14:paraId="7488A678" w14:textId="77777777" w:rsidR="00D2643B" w:rsidRPr="00F879DC" w:rsidRDefault="00D2643B" w:rsidP="00D3346C">
            <w:pPr>
              <w:pStyle w:val="Tabletext"/>
            </w:pPr>
            <w:r>
              <w:t>IFRS</w:t>
            </w:r>
          </w:p>
        </w:tc>
        <w:tc>
          <w:tcPr>
            <w:tcW w:w="630" w:type="dxa"/>
            <w:tcBorders>
              <w:bottom w:val="single" w:sz="4" w:space="0" w:color="auto"/>
            </w:tcBorders>
            <w:vAlign w:val="center"/>
          </w:tcPr>
          <w:p w14:paraId="39673544" w14:textId="77777777" w:rsidR="00D2643B" w:rsidRPr="00F879DC" w:rsidRDefault="00D2643B" w:rsidP="00B13657">
            <w:pPr>
              <w:pStyle w:val="Tabletext"/>
              <w:jc w:val="center"/>
            </w:pPr>
            <w:r>
              <w:t>13</w:t>
            </w:r>
          </w:p>
        </w:tc>
        <w:tc>
          <w:tcPr>
            <w:tcW w:w="7295" w:type="dxa"/>
            <w:tcBorders>
              <w:bottom w:val="single" w:sz="4" w:space="0" w:color="auto"/>
            </w:tcBorders>
          </w:tcPr>
          <w:p w14:paraId="47734C4B" w14:textId="77777777" w:rsidR="00D2643B" w:rsidRPr="00F879DC" w:rsidRDefault="00D2643B" w:rsidP="00D3346C">
            <w:pPr>
              <w:pStyle w:val="Tabletext"/>
            </w:pPr>
            <w:r>
              <w:t>Fair value measurement</w:t>
            </w:r>
          </w:p>
        </w:tc>
      </w:tr>
    </w:tbl>
    <w:p w14:paraId="70959EEA" w14:textId="77777777" w:rsidR="00D2643B" w:rsidRPr="000B75E7" w:rsidRDefault="00D2643B" w:rsidP="001A2C7E">
      <w:pPr>
        <w:rPr>
          <w:sz w:val="18"/>
          <w:szCs w:val="18"/>
        </w:rPr>
      </w:pPr>
      <w:r w:rsidRPr="000B75E7">
        <w:rPr>
          <w:sz w:val="18"/>
          <w:szCs w:val="18"/>
        </w:rPr>
        <w:t>a  Formerly, ‘Consolidated and separate financial statements’.</w:t>
      </w:r>
    </w:p>
    <w:p w14:paraId="36FE6F58" w14:textId="77777777" w:rsidR="00D2643B" w:rsidRPr="000B75E7" w:rsidRDefault="00D2643B" w:rsidP="001A2C7E">
      <w:pPr>
        <w:rPr>
          <w:sz w:val="18"/>
          <w:szCs w:val="18"/>
        </w:rPr>
      </w:pPr>
      <w:r w:rsidRPr="000B75E7">
        <w:rPr>
          <w:sz w:val="18"/>
          <w:szCs w:val="18"/>
        </w:rPr>
        <w:t>b Formerly, ‘Investments in associates’.</w:t>
      </w:r>
    </w:p>
    <w:p w14:paraId="5A025204" w14:textId="77777777" w:rsidR="00D2643B" w:rsidRDefault="00D2643B" w:rsidP="001A2C7E">
      <w:pPr>
        <w:rPr>
          <w:sz w:val="18"/>
          <w:szCs w:val="18"/>
        </w:rPr>
      </w:pPr>
      <w:r w:rsidRPr="000B75E7">
        <w:rPr>
          <w:sz w:val="18"/>
          <w:szCs w:val="18"/>
        </w:rPr>
        <w:t>c Standard not applicable from 2013.</w:t>
      </w:r>
    </w:p>
    <w:p w14:paraId="2611557F" w14:textId="77777777" w:rsidR="00D2643B" w:rsidRDefault="00D2643B" w:rsidP="001A2C7E">
      <w:pPr>
        <w:rPr>
          <w:sz w:val="18"/>
          <w:szCs w:val="18"/>
        </w:rPr>
      </w:pPr>
    </w:p>
    <w:p w14:paraId="0209AE26" w14:textId="77777777" w:rsidR="00D2643B" w:rsidRDefault="00D2643B" w:rsidP="008C16B0">
      <w:pPr>
        <w:spacing w:after="60" w:line="480" w:lineRule="auto"/>
        <w:rPr>
          <w:vanish/>
        </w:rPr>
        <w:sectPr w:rsidR="00D2643B" w:rsidSect="00840C92">
          <w:headerReference w:type="default" r:id="rId12"/>
          <w:headerReference w:type="first" r:id="rId13"/>
          <w:pgSz w:w="11906" w:h="16838"/>
          <w:pgMar w:top="1440" w:right="1800" w:bottom="1440" w:left="1440" w:header="706" w:footer="706" w:gutter="0"/>
          <w:cols w:space="708"/>
          <w:titlePg/>
          <w:docGrid w:linePitch="360"/>
        </w:sectPr>
      </w:pPr>
      <w:r>
        <w:rPr>
          <w:vanish/>
        </w:rPr>
        <w:t>HGBHGB</w:t>
      </w:r>
    </w:p>
    <w:p w14:paraId="486AA672" w14:textId="77777777" w:rsidR="00D2643B" w:rsidRDefault="00D2643B" w:rsidP="008C16B0">
      <w:pPr>
        <w:spacing w:after="60" w:line="480" w:lineRule="auto"/>
        <w:rPr>
          <w:b/>
        </w:rPr>
        <w:sectPr w:rsidR="00D2643B" w:rsidSect="0032548A">
          <w:pgSz w:w="11906" w:h="16838"/>
          <w:pgMar w:top="1440" w:right="1800" w:bottom="1440" w:left="1440" w:header="706" w:footer="706" w:gutter="0"/>
          <w:cols w:space="708"/>
          <w:titlePg/>
          <w:docGrid w:linePitch="360"/>
        </w:sectPr>
      </w:pPr>
    </w:p>
    <w:p w14:paraId="3E803790" w14:textId="77777777" w:rsidR="00D2643B" w:rsidRPr="00AA5C30" w:rsidRDefault="00D2643B" w:rsidP="00BC4CED">
      <w:pPr>
        <w:spacing w:after="60" w:line="240" w:lineRule="auto"/>
        <w:rPr>
          <w:b/>
        </w:rPr>
      </w:pPr>
    </w:p>
    <w:tbl>
      <w:tblPr>
        <w:tblW w:w="13878" w:type="dxa"/>
        <w:tblBorders>
          <w:top w:val="single" w:sz="4" w:space="0" w:color="auto"/>
          <w:left w:val="single" w:sz="4" w:space="0" w:color="auto"/>
          <w:bottom w:val="single" w:sz="4" w:space="0" w:color="auto"/>
          <w:right w:val="single" w:sz="4" w:space="0" w:color="auto"/>
          <w:insideH w:val="single" w:sz="2" w:space="0" w:color="D9D9D9"/>
          <w:insideV w:val="single" w:sz="2" w:space="0" w:color="D9D9D9"/>
        </w:tblBorders>
        <w:tblLayout w:type="fixed"/>
        <w:tblLook w:val="00A0" w:firstRow="1" w:lastRow="0" w:firstColumn="1" w:lastColumn="0" w:noHBand="0" w:noVBand="0"/>
      </w:tblPr>
      <w:tblGrid>
        <w:gridCol w:w="1548"/>
        <w:gridCol w:w="1350"/>
        <w:gridCol w:w="1350"/>
        <w:gridCol w:w="1980"/>
        <w:gridCol w:w="1980"/>
        <w:gridCol w:w="1800"/>
        <w:gridCol w:w="1800"/>
        <w:gridCol w:w="2070"/>
      </w:tblGrid>
      <w:tr w:rsidR="00D2643B" w:rsidRPr="00B440D4" w14:paraId="0AE562E6" w14:textId="77777777" w:rsidTr="00B440D4">
        <w:trPr>
          <w:trHeight w:val="735"/>
        </w:trPr>
        <w:tc>
          <w:tcPr>
            <w:tcW w:w="11808" w:type="dxa"/>
            <w:gridSpan w:val="7"/>
            <w:tcBorders>
              <w:top w:val="single" w:sz="4" w:space="0" w:color="auto"/>
              <w:bottom w:val="single" w:sz="4" w:space="0" w:color="auto"/>
            </w:tcBorders>
          </w:tcPr>
          <w:p w14:paraId="57E0591E" w14:textId="77777777" w:rsidR="00D2643B" w:rsidRPr="00B440D4" w:rsidRDefault="00D2643B" w:rsidP="00B440D4">
            <w:pPr>
              <w:spacing w:before="240" w:after="240" w:line="240" w:lineRule="auto"/>
              <w:rPr>
                <w:b/>
              </w:rPr>
            </w:pPr>
            <w:r w:rsidRPr="00B440D4">
              <w:rPr>
                <w:b/>
              </w:rPr>
              <w:t>Table 1.  IFRS implementations for regulated reporting by domestic companies, 31 December 2012 year ends</w:t>
            </w:r>
          </w:p>
        </w:tc>
        <w:tc>
          <w:tcPr>
            <w:tcW w:w="2070" w:type="dxa"/>
            <w:tcBorders>
              <w:top w:val="single" w:sz="4" w:space="0" w:color="auto"/>
              <w:bottom w:val="single" w:sz="4" w:space="0" w:color="auto"/>
            </w:tcBorders>
          </w:tcPr>
          <w:p w14:paraId="54C7AA84" w14:textId="77777777" w:rsidR="00D2643B" w:rsidRPr="00B440D4" w:rsidRDefault="00D2643B" w:rsidP="00B440D4">
            <w:pPr>
              <w:spacing w:before="240" w:after="240" w:line="240" w:lineRule="auto"/>
              <w:rPr>
                <w:b/>
              </w:rPr>
            </w:pPr>
          </w:p>
        </w:tc>
      </w:tr>
      <w:tr w:rsidR="00D2643B" w:rsidRPr="00B440D4" w14:paraId="5A0C012A" w14:textId="77777777" w:rsidTr="00B440D4">
        <w:trPr>
          <w:trHeight w:val="322"/>
        </w:trPr>
        <w:tc>
          <w:tcPr>
            <w:tcW w:w="1548" w:type="dxa"/>
            <w:tcBorders>
              <w:top w:val="single" w:sz="4" w:space="0" w:color="auto"/>
              <w:bottom w:val="single" w:sz="4" w:space="0" w:color="auto"/>
              <w:right w:val="single" w:sz="4" w:space="0" w:color="auto"/>
            </w:tcBorders>
          </w:tcPr>
          <w:p w14:paraId="1D0FB5F9" w14:textId="77777777" w:rsidR="00D2643B" w:rsidRPr="00B440D4" w:rsidRDefault="00D2643B" w:rsidP="00B440D4">
            <w:pPr>
              <w:spacing w:after="60" w:line="240" w:lineRule="auto"/>
              <w:jc w:val="center"/>
              <w:rPr>
                <w:i/>
              </w:rPr>
            </w:pPr>
            <w:r w:rsidRPr="00B440D4">
              <w:rPr>
                <w:i/>
              </w:rPr>
              <w:t>1</w:t>
            </w:r>
          </w:p>
        </w:tc>
        <w:tc>
          <w:tcPr>
            <w:tcW w:w="1350" w:type="dxa"/>
            <w:tcBorders>
              <w:top w:val="single" w:sz="4" w:space="0" w:color="auto"/>
              <w:left w:val="single" w:sz="4" w:space="0" w:color="auto"/>
              <w:bottom w:val="single" w:sz="4" w:space="0" w:color="auto"/>
              <w:right w:val="single" w:sz="4" w:space="0" w:color="auto"/>
            </w:tcBorders>
          </w:tcPr>
          <w:p w14:paraId="7EC4CF92" w14:textId="77777777" w:rsidR="00D2643B" w:rsidRPr="00B440D4" w:rsidRDefault="00D2643B" w:rsidP="00B440D4">
            <w:pPr>
              <w:spacing w:after="60" w:line="240" w:lineRule="auto"/>
              <w:jc w:val="center"/>
              <w:rPr>
                <w:i/>
              </w:rPr>
            </w:pPr>
            <w:r w:rsidRPr="00B440D4">
              <w:rPr>
                <w:i/>
              </w:rPr>
              <w:t>2</w:t>
            </w:r>
          </w:p>
        </w:tc>
        <w:tc>
          <w:tcPr>
            <w:tcW w:w="1350" w:type="dxa"/>
            <w:tcBorders>
              <w:top w:val="single" w:sz="4" w:space="0" w:color="auto"/>
              <w:left w:val="single" w:sz="4" w:space="0" w:color="auto"/>
              <w:bottom w:val="single" w:sz="4" w:space="0" w:color="auto"/>
              <w:right w:val="single" w:sz="4" w:space="0" w:color="auto"/>
            </w:tcBorders>
          </w:tcPr>
          <w:p w14:paraId="5F5C0421" w14:textId="77777777" w:rsidR="00D2643B" w:rsidRPr="00B440D4" w:rsidRDefault="00D2643B" w:rsidP="00B440D4">
            <w:pPr>
              <w:spacing w:after="60" w:line="240" w:lineRule="auto"/>
              <w:jc w:val="center"/>
              <w:rPr>
                <w:i/>
              </w:rPr>
            </w:pPr>
            <w:r w:rsidRPr="00B440D4">
              <w:rPr>
                <w:i/>
              </w:rPr>
              <w:t>3</w:t>
            </w:r>
          </w:p>
        </w:tc>
        <w:tc>
          <w:tcPr>
            <w:tcW w:w="1980" w:type="dxa"/>
            <w:tcBorders>
              <w:top w:val="single" w:sz="4" w:space="0" w:color="auto"/>
              <w:left w:val="single" w:sz="4" w:space="0" w:color="auto"/>
              <w:bottom w:val="single" w:sz="4" w:space="0" w:color="auto"/>
              <w:right w:val="single" w:sz="4" w:space="0" w:color="auto"/>
            </w:tcBorders>
          </w:tcPr>
          <w:p w14:paraId="68175C00" w14:textId="77777777" w:rsidR="00D2643B" w:rsidRPr="00B440D4" w:rsidRDefault="00D2643B" w:rsidP="00B440D4">
            <w:pPr>
              <w:spacing w:after="60" w:line="240" w:lineRule="auto"/>
              <w:jc w:val="center"/>
              <w:rPr>
                <w:i/>
              </w:rPr>
            </w:pPr>
            <w:r w:rsidRPr="00B440D4">
              <w:rPr>
                <w:i/>
              </w:rPr>
              <w:t>4</w:t>
            </w:r>
          </w:p>
        </w:tc>
        <w:tc>
          <w:tcPr>
            <w:tcW w:w="1980" w:type="dxa"/>
            <w:tcBorders>
              <w:top w:val="single" w:sz="4" w:space="0" w:color="auto"/>
              <w:left w:val="single" w:sz="4" w:space="0" w:color="auto"/>
              <w:bottom w:val="single" w:sz="4" w:space="0" w:color="auto"/>
              <w:right w:val="single" w:sz="4" w:space="0" w:color="auto"/>
            </w:tcBorders>
          </w:tcPr>
          <w:p w14:paraId="6331490F" w14:textId="77777777" w:rsidR="00D2643B" w:rsidRPr="00B440D4" w:rsidRDefault="00D2643B" w:rsidP="00B440D4">
            <w:pPr>
              <w:spacing w:after="60" w:line="240" w:lineRule="auto"/>
              <w:jc w:val="center"/>
              <w:rPr>
                <w:i/>
              </w:rPr>
            </w:pPr>
            <w:r w:rsidRPr="00B440D4">
              <w:rPr>
                <w:i/>
              </w:rPr>
              <w:t>5</w:t>
            </w:r>
          </w:p>
        </w:tc>
        <w:tc>
          <w:tcPr>
            <w:tcW w:w="1800" w:type="dxa"/>
            <w:tcBorders>
              <w:top w:val="single" w:sz="4" w:space="0" w:color="auto"/>
              <w:left w:val="single" w:sz="4" w:space="0" w:color="auto"/>
              <w:bottom w:val="single" w:sz="4" w:space="0" w:color="auto"/>
              <w:right w:val="single" w:sz="4" w:space="0" w:color="auto"/>
            </w:tcBorders>
          </w:tcPr>
          <w:p w14:paraId="74CCB537" w14:textId="77777777" w:rsidR="00D2643B" w:rsidRPr="00B440D4" w:rsidRDefault="00D2643B" w:rsidP="00B440D4">
            <w:pPr>
              <w:spacing w:after="60" w:line="240" w:lineRule="auto"/>
              <w:jc w:val="center"/>
              <w:rPr>
                <w:i/>
              </w:rPr>
            </w:pPr>
            <w:r w:rsidRPr="00B440D4">
              <w:rPr>
                <w:i/>
              </w:rPr>
              <w:t>6</w:t>
            </w:r>
          </w:p>
        </w:tc>
        <w:tc>
          <w:tcPr>
            <w:tcW w:w="1800" w:type="dxa"/>
            <w:tcBorders>
              <w:top w:val="single" w:sz="4" w:space="0" w:color="auto"/>
              <w:left w:val="single" w:sz="4" w:space="0" w:color="auto"/>
              <w:bottom w:val="single" w:sz="4" w:space="0" w:color="auto"/>
              <w:right w:val="single" w:sz="4" w:space="0" w:color="auto"/>
            </w:tcBorders>
          </w:tcPr>
          <w:p w14:paraId="6C50E6FB" w14:textId="77777777" w:rsidR="00D2643B" w:rsidRPr="00B440D4" w:rsidRDefault="00D2643B" w:rsidP="00B440D4">
            <w:pPr>
              <w:spacing w:after="60" w:line="240" w:lineRule="auto"/>
              <w:jc w:val="center"/>
              <w:rPr>
                <w:i/>
              </w:rPr>
            </w:pPr>
            <w:r w:rsidRPr="00B440D4">
              <w:rPr>
                <w:i/>
              </w:rPr>
              <w:t>7</w:t>
            </w:r>
          </w:p>
        </w:tc>
        <w:tc>
          <w:tcPr>
            <w:tcW w:w="2070" w:type="dxa"/>
            <w:tcBorders>
              <w:top w:val="single" w:sz="4" w:space="0" w:color="auto"/>
              <w:left w:val="single" w:sz="4" w:space="0" w:color="auto"/>
              <w:bottom w:val="single" w:sz="4" w:space="0" w:color="auto"/>
            </w:tcBorders>
          </w:tcPr>
          <w:p w14:paraId="76BA0984" w14:textId="77777777" w:rsidR="00D2643B" w:rsidRPr="00B440D4" w:rsidRDefault="00D2643B" w:rsidP="00B440D4">
            <w:pPr>
              <w:spacing w:after="60" w:line="240" w:lineRule="auto"/>
              <w:jc w:val="center"/>
              <w:rPr>
                <w:i/>
              </w:rPr>
            </w:pPr>
            <w:r w:rsidRPr="00B440D4">
              <w:rPr>
                <w:i/>
              </w:rPr>
              <w:t>8</w:t>
            </w:r>
          </w:p>
        </w:tc>
      </w:tr>
      <w:tr w:rsidR="00D2643B" w:rsidRPr="00B440D4" w14:paraId="30126EB9" w14:textId="77777777" w:rsidTr="00B440D4">
        <w:trPr>
          <w:trHeight w:val="1218"/>
        </w:trPr>
        <w:tc>
          <w:tcPr>
            <w:tcW w:w="1548" w:type="dxa"/>
            <w:tcBorders>
              <w:top w:val="single" w:sz="4" w:space="0" w:color="auto"/>
              <w:bottom w:val="single" w:sz="4" w:space="0" w:color="auto"/>
              <w:right w:val="single" w:sz="4" w:space="0" w:color="auto"/>
            </w:tcBorders>
          </w:tcPr>
          <w:p w14:paraId="19959DF9" w14:textId="77777777" w:rsidR="00D2643B" w:rsidRPr="00B440D4" w:rsidRDefault="00D2643B" w:rsidP="00B440D4">
            <w:pPr>
              <w:spacing w:after="60" w:line="240" w:lineRule="auto"/>
              <w:rPr>
                <w:i/>
                <w:sz w:val="20"/>
                <w:szCs w:val="20"/>
              </w:rPr>
            </w:pPr>
            <w:r w:rsidRPr="00B440D4">
              <w:rPr>
                <w:i/>
                <w:sz w:val="20"/>
                <w:szCs w:val="20"/>
              </w:rPr>
              <w:t>Jurisdiction</w:t>
            </w:r>
          </w:p>
        </w:tc>
        <w:tc>
          <w:tcPr>
            <w:tcW w:w="1350" w:type="dxa"/>
            <w:tcBorders>
              <w:top w:val="single" w:sz="4" w:space="0" w:color="auto"/>
              <w:left w:val="single" w:sz="4" w:space="0" w:color="auto"/>
              <w:bottom w:val="single" w:sz="4" w:space="0" w:color="auto"/>
              <w:right w:val="single" w:sz="4" w:space="0" w:color="auto"/>
            </w:tcBorders>
          </w:tcPr>
          <w:p w14:paraId="1BDA1AA6" w14:textId="77777777" w:rsidR="00D2643B" w:rsidRPr="00B440D4" w:rsidRDefault="00D2643B" w:rsidP="00B440D4">
            <w:pPr>
              <w:spacing w:after="60" w:line="240" w:lineRule="auto"/>
              <w:jc w:val="center"/>
              <w:rPr>
                <w:i/>
                <w:sz w:val="20"/>
                <w:szCs w:val="20"/>
              </w:rPr>
            </w:pPr>
            <w:r w:rsidRPr="00B440D4">
              <w:rPr>
                <w:i/>
                <w:sz w:val="20"/>
                <w:szCs w:val="20"/>
              </w:rPr>
              <w:t xml:space="preserve">Is IASB-IFRS required for all </w:t>
            </w:r>
            <w:r w:rsidR="00215480">
              <w:rPr>
                <w:i/>
                <w:sz w:val="20"/>
                <w:szCs w:val="20"/>
              </w:rPr>
              <w:t xml:space="preserve">regulated </w:t>
            </w:r>
            <w:r w:rsidRPr="00B440D4">
              <w:rPr>
                <w:i/>
                <w:sz w:val="20"/>
                <w:szCs w:val="20"/>
              </w:rPr>
              <w:t xml:space="preserve">reporting? </w:t>
            </w:r>
          </w:p>
        </w:tc>
        <w:tc>
          <w:tcPr>
            <w:tcW w:w="1350" w:type="dxa"/>
            <w:tcBorders>
              <w:top w:val="single" w:sz="4" w:space="0" w:color="auto"/>
              <w:left w:val="single" w:sz="4" w:space="0" w:color="auto"/>
              <w:bottom w:val="single" w:sz="4" w:space="0" w:color="auto"/>
              <w:right w:val="single" w:sz="4" w:space="0" w:color="auto"/>
            </w:tcBorders>
          </w:tcPr>
          <w:p w14:paraId="193D06D5" w14:textId="77777777" w:rsidR="00D2643B" w:rsidRPr="00B440D4" w:rsidRDefault="00D2643B" w:rsidP="00B440D4">
            <w:pPr>
              <w:spacing w:after="60" w:line="240" w:lineRule="auto"/>
              <w:jc w:val="center"/>
              <w:rPr>
                <w:i/>
                <w:sz w:val="20"/>
                <w:szCs w:val="20"/>
              </w:rPr>
            </w:pPr>
            <w:r w:rsidRPr="00B440D4">
              <w:rPr>
                <w:i/>
                <w:sz w:val="20"/>
                <w:szCs w:val="20"/>
              </w:rPr>
              <w:t>Is IASB-IFRS required for consolidated statements of all listed companies?</w:t>
            </w:r>
          </w:p>
        </w:tc>
        <w:tc>
          <w:tcPr>
            <w:tcW w:w="1980" w:type="dxa"/>
            <w:tcBorders>
              <w:top w:val="single" w:sz="4" w:space="0" w:color="auto"/>
              <w:left w:val="single" w:sz="4" w:space="0" w:color="auto"/>
              <w:bottom w:val="single" w:sz="4" w:space="0" w:color="auto"/>
              <w:right w:val="single" w:sz="4" w:space="0" w:color="auto"/>
            </w:tcBorders>
          </w:tcPr>
          <w:p w14:paraId="553BD984" w14:textId="77777777" w:rsidR="00D2643B" w:rsidRPr="00B440D4" w:rsidRDefault="00D2643B" w:rsidP="00B440D4">
            <w:pPr>
              <w:spacing w:after="60" w:line="240" w:lineRule="auto"/>
              <w:jc w:val="center"/>
              <w:rPr>
                <w:i/>
                <w:sz w:val="20"/>
                <w:szCs w:val="20"/>
              </w:rPr>
            </w:pPr>
            <w:r w:rsidRPr="00B440D4">
              <w:rPr>
                <w:i/>
                <w:sz w:val="20"/>
                <w:szCs w:val="20"/>
              </w:rPr>
              <w:t>Is a version of IFRS which is intended to ensure compliance with IASB-IFRS required for all</w:t>
            </w:r>
            <w:r w:rsidR="000F5E32">
              <w:rPr>
                <w:i/>
                <w:sz w:val="20"/>
                <w:szCs w:val="20"/>
              </w:rPr>
              <w:t xml:space="preserve"> regulated</w:t>
            </w:r>
            <w:r w:rsidRPr="00B440D4">
              <w:rPr>
                <w:i/>
                <w:sz w:val="20"/>
                <w:szCs w:val="20"/>
              </w:rPr>
              <w:t xml:space="preserve"> reporting?</w:t>
            </w:r>
          </w:p>
        </w:tc>
        <w:tc>
          <w:tcPr>
            <w:tcW w:w="1980" w:type="dxa"/>
            <w:tcBorders>
              <w:top w:val="single" w:sz="4" w:space="0" w:color="auto"/>
              <w:left w:val="single" w:sz="4" w:space="0" w:color="auto"/>
              <w:bottom w:val="single" w:sz="4" w:space="0" w:color="auto"/>
              <w:right w:val="single" w:sz="4" w:space="0" w:color="auto"/>
            </w:tcBorders>
          </w:tcPr>
          <w:p w14:paraId="7414895F" w14:textId="77777777" w:rsidR="00D2643B" w:rsidRPr="00B440D4" w:rsidRDefault="00D2643B" w:rsidP="00B440D4">
            <w:pPr>
              <w:spacing w:after="60" w:line="240" w:lineRule="auto"/>
              <w:jc w:val="center"/>
              <w:rPr>
                <w:i/>
                <w:sz w:val="20"/>
                <w:szCs w:val="20"/>
              </w:rPr>
            </w:pPr>
            <w:r w:rsidRPr="00B440D4">
              <w:rPr>
                <w:i/>
                <w:sz w:val="20"/>
                <w:szCs w:val="20"/>
              </w:rPr>
              <w:t>Is a version of IFRS which is intended to ensure compliance with IASB-IFRS required for consolidated statements of all listed companies?</w:t>
            </w:r>
          </w:p>
        </w:tc>
        <w:tc>
          <w:tcPr>
            <w:tcW w:w="1800" w:type="dxa"/>
            <w:tcBorders>
              <w:top w:val="single" w:sz="4" w:space="0" w:color="auto"/>
              <w:left w:val="single" w:sz="4" w:space="0" w:color="auto"/>
              <w:bottom w:val="single" w:sz="4" w:space="0" w:color="auto"/>
              <w:right w:val="single" w:sz="4" w:space="0" w:color="auto"/>
            </w:tcBorders>
          </w:tcPr>
          <w:p w14:paraId="52E6FB58" w14:textId="77777777" w:rsidR="00D2643B" w:rsidRPr="00B440D4" w:rsidRDefault="00D2643B" w:rsidP="00B440D4">
            <w:pPr>
              <w:spacing w:after="60" w:line="240" w:lineRule="auto"/>
              <w:jc w:val="center"/>
              <w:rPr>
                <w:i/>
                <w:sz w:val="20"/>
                <w:szCs w:val="20"/>
              </w:rPr>
            </w:pPr>
            <w:r w:rsidRPr="00B440D4">
              <w:rPr>
                <w:i/>
                <w:sz w:val="20"/>
                <w:szCs w:val="20"/>
              </w:rPr>
              <w:t>Is a version of IFRS which allows compliance with IASB-IFRS required for all</w:t>
            </w:r>
            <w:r w:rsidR="000F5E32">
              <w:rPr>
                <w:i/>
                <w:sz w:val="20"/>
                <w:szCs w:val="20"/>
              </w:rPr>
              <w:t xml:space="preserve"> regulated</w:t>
            </w:r>
            <w:r w:rsidRPr="00B440D4">
              <w:rPr>
                <w:i/>
                <w:sz w:val="20"/>
                <w:szCs w:val="20"/>
              </w:rPr>
              <w:t xml:space="preserve"> reporting?</w:t>
            </w:r>
          </w:p>
        </w:tc>
        <w:tc>
          <w:tcPr>
            <w:tcW w:w="1800" w:type="dxa"/>
            <w:tcBorders>
              <w:top w:val="single" w:sz="4" w:space="0" w:color="auto"/>
              <w:left w:val="single" w:sz="4" w:space="0" w:color="auto"/>
              <w:bottom w:val="single" w:sz="4" w:space="0" w:color="auto"/>
              <w:right w:val="single" w:sz="4" w:space="0" w:color="auto"/>
            </w:tcBorders>
          </w:tcPr>
          <w:p w14:paraId="0245464D" w14:textId="77777777" w:rsidR="00D2643B" w:rsidRPr="00B440D4" w:rsidRDefault="00D2643B" w:rsidP="00B440D4">
            <w:pPr>
              <w:spacing w:after="60" w:line="240" w:lineRule="auto"/>
              <w:jc w:val="center"/>
              <w:rPr>
                <w:i/>
                <w:sz w:val="20"/>
                <w:szCs w:val="20"/>
              </w:rPr>
            </w:pPr>
            <w:r w:rsidRPr="00B440D4">
              <w:rPr>
                <w:i/>
                <w:sz w:val="20"/>
                <w:szCs w:val="20"/>
              </w:rPr>
              <w:t>Is a version of IFRS which allows compliance with IASB-IFRS required for consolidated statements of all listed companies?</w:t>
            </w:r>
          </w:p>
        </w:tc>
        <w:tc>
          <w:tcPr>
            <w:tcW w:w="2070" w:type="dxa"/>
            <w:tcBorders>
              <w:top w:val="single" w:sz="4" w:space="0" w:color="auto"/>
              <w:left w:val="single" w:sz="4" w:space="0" w:color="auto"/>
              <w:bottom w:val="single" w:sz="4" w:space="0" w:color="auto"/>
            </w:tcBorders>
          </w:tcPr>
          <w:p w14:paraId="36A69798" w14:textId="77777777" w:rsidR="00D2643B" w:rsidRPr="00B440D4" w:rsidRDefault="00D2643B" w:rsidP="00B440D4">
            <w:pPr>
              <w:spacing w:after="60" w:line="240" w:lineRule="auto"/>
              <w:jc w:val="center"/>
              <w:rPr>
                <w:i/>
                <w:sz w:val="20"/>
                <w:szCs w:val="20"/>
              </w:rPr>
            </w:pPr>
            <w:r w:rsidRPr="00B440D4">
              <w:rPr>
                <w:i/>
                <w:sz w:val="20"/>
                <w:szCs w:val="20"/>
              </w:rPr>
              <w:t>Is a version of IFRS which allows compliance with IASB-IFRS required (or allowed; A) for all</w:t>
            </w:r>
            <w:r w:rsidR="000F5E32">
              <w:rPr>
                <w:i/>
                <w:sz w:val="20"/>
                <w:szCs w:val="20"/>
              </w:rPr>
              <w:t xml:space="preserve"> regulated</w:t>
            </w:r>
            <w:r w:rsidRPr="00B440D4">
              <w:rPr>
                <w:i/>
                <w:sz w:val="20"/>
                <w:szCs w:val="20"/>
              </w:rPr>
              <w:t xml:space="preserve"> unconsolidated reporting?</w:t>
            </w:r>
          </w:p>
        </w:tc>
      </w:tr>
      <w:tr w:rsidR="00D2643B" w:rsidRPr="00B440D4" w14:paraId="20463750" w14:textId="77777777" w:rsidTr="00B440D4">
        <w:trPr>
          <w:trHeight w:val="322"/>
        </w:trPr>
        <w:tc>
          <w:tcPr>
            <w:tcW w:w="1548" w:type="dxa"/>
            <w:tcBorders>
              <w:top w:val="single" w:sz="4" w:space="0" w:color="auto"/>
              <w:bottom w:val="single" w:sz="4" w:space="0" w:color="auto"/>
              <w:right w:val="single" w:sz="4" w:space="0" w:color="auto"/>
            </w:tcBorders>
          </w:tcPr>
          <w:p w14:paraId="4E2E8B25" w14:textId="77777777" w:rsidR="00D2643B" w:rsidRPr="00B440D4" w:rsidRDefault="00D2643B" w:rsidP="00B440D4">
            <w:pPr>
              <w:spacing w:after="60" w:line="240" w:lineRule="auto"/>
            </w:pPr>
            <w:r w:rsidRPr="00B440D4">
              <w:t>Australia</w:t>
            </w:r>
          </w:p>
        </w:tc>
        <w:tc>
          <w:tcPr>
            <w:tcW w:w="1350" w:type="dxa"/>
            <w:tcBorders>
              <w:top w:val="single" w:sz="4" w:space="0" w:color="auto"/>
              <w:left w:val="single" w:sz="4" w:space="0" w:color="auto"/>
              <w:bottom w:val="single" w:sz="4" w:space="0" w:color="auto"/>
              <w:right w:val="single" w:sz="4" w:space="0" w:color="auto"/>
            </w:tcBorders>
          </w:tcPr>
          <w:p w14:paraId="6A9CDF68"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1F33983D"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19640E84"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2E8D93D4" w14:textId="77777777" w:rsidR="00D2643B" w:rsidRPr="00B440D4" w:rsidRDefault="00D2643B" w:rsidP="00B440D4">
            <w:pPr>
              <w:spacing w:after="60" w:line="240" w:lineRule="auto"/>
              <w:jc w:val="center"/>
            </w:pPr>
            <w:r w:rsidRPr="00B440D4">
              <w:t>Y</w:t>
            </w:r>
            <w:r w:rsidRPr="00B440D4">
              <w:rPr>
                <w:vertAlign w:val="superscript"/>
              </w:rPr>
              <w:t>1</w:t>
            </w:r>
            <w:r w:rsidRPr="00B440D4">
              <w:t xml:space="preserve"> (2005)</w:t>
            </w:r>
          </w:p>
        </w:tc>
        <w:tc>
          <w:tcPr>
            <w:tcW w:w="1800" w:type="dxa"/>
            <w:tcBorders>
              <w:top w:val="single" w:sz="4" w:space="0" w:color="auto"/>
              <w:left w:val="single" w:sz="4" w:space="0" w:color="auto"/>
              <w:bottom w:val="single" w:sz="4" w:space="0" w:color="auto"/>
              <w:right w:val="single" w:sz="4" w:space="0" w:color="auto"/>
            </w:tcBorders>
          </w:tcPr>
          <w:p w14:paraId="086CF680"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57392EBE" w14:textId="77777777" w:rsidR="00D2643B" w:rsidRPr="00B440D4" w:rsidRDefault="00D2643B" w:rsidP="00B440D4">
            <w:pPr>
              <w:spacing w:after="60" w:line="240" w:lineRule="auto"/>
              <w:jc w:val="center"/>
            </w:pPr>
            <w:r w:rsidRPr="00B440D4">
              <w:sym w:font="Wingdings 3" w:char="F021"/>
            </w:r>
            <w:r w:rsidRPr="00B440D4">
              <w:t>Y</w:t>
            </w:r>
          </w:p>
        </w:tc>
        <w:tc>
          <w:tcPr>
            <w:tcW w:w="2070" w:type="dxa"/>
            <w:tcBorders>
              <w:top w:val="single" w:sz="4" w:space="0" w:color="auto"/>
              <w:left w:val="single" w:sz="4" w:space="0" w:color="auto"/>
              <w:bottom w:val="single" w:sz="4" w:space="0" w:color="auto"/>
            </w:tcBorders>
          </w:tcPr>
          <w:p w14:paraId="47C3093D" w14:textId="77777777" w:rsidR="00D2643B" w:rsidRPr="00B440D4" w:rsidRDefault="00D2643B" w:rsidP="00B440D4">
            <w:pPr>
              <w:spacing w:after="60" w:line="240" w:lineRule="auto"/>
              <w:jc w:val="center"/>
            </w:pPr>
            <w:r w:rsidRPr="00B440D4">
              <w:t>N (A)</w:t>
            </w:r>
          </w:p>
        </w:tc>
      </w:tr>
      <w:tr w:rsidR="00D2643B" w:rsidRPr="00B440D4" w14:paraId="6F447196" w14:textId="77777777" w:rsidTr="00B440D4">
        <w:trPr>
          <w:trHeight w:val="322"/>
        </w:trPr>
        <w:tc>
          <w:tcPr>
            <w:tcW w:w="1548" w:type="dxa"/>
            <w:tcBorders>
              <w:top w:val="single" w:sz="4" w:space="0" w:color="auto"/>
              <w:bottom w:val="single" w:sz="4" w:space="0" w:color="auto"/>
              <w:right w:val="single" w:sz="4" w:space="0" w:color="auto"/>
            </w:tcBorders>
          </w:tcPr>
          <w:p w14:paraId="40C4BCD9" w14:textId="77777777" w:rsidR="00D2643B" w:rsidRPr="00B440D4" w:rsidRDefault="00D2643B" w:rsidP="00B440D4">
            <w:pPr>
              <w:spacing w:after="60" w:line="240" w:lineRule="auto"/>
            </w:pPr>
            <w:r w:rsidRPr="00B440D4">
              <w:t>Brazil</w:t>
            </w:r>
          </w:p>
        </w:tc>
        <w:tc>
          <w:tcPr>
            <w:tcW w:w="1350" w:type="dxa"/>
            <w:tcBorders>
              <w:top w:val="single" w:sz="4" w:space="0" w:color="auto"/>
              <w:left w:val="single" w:sz="4" w:space="0" w:color="auto"/>
              <w:bottom w:val="single" w:sz="4" w:space="0" w:color="auto"/>
              <w:right w:val="single" w:sz="4" w:space="0" w:color="auto"/>
            </w:tcBorders>
          </w:tcPr>
          <w:p w14:paraId="568DA0EE"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1263AAF9"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14A2C423"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434B369A" w14:textId="77777777" w:rsidR="00D2643B" w:rsidRPr="00B440D4" w:rsidRDefault="00D2643B" w:rsidP="00B440D4">
            <w:pPr>
              <w:spacing w:after="60" w:line="240" w:lineRule="auto"/>
              <w:jc w:val="center"/>
            </w:pPr>
            <w:r w:rsidRPr="00B440D4">
              <w:t>Y</w:t>
            </w:r>
            <w:r w:rsidRPr="00B440D4">
              <w:rPr>
                <w:vertAlign w:val="superscript"/>
              </w:rPr>
              <w:t>2</w:t>
            </w:r>
            <w:r w:rsidRPr="00B440D4">
              <w:t xml:space="preserve"> (2010)</w:t>
            </w:r>
          </w:p>
        </w:tc>
        <w:tc>
          <w:tcPr>
            <w:tcW w:w="1800" w:type="dxa"/>
            <w:tcBorders>
              <w:top w:val="single" w:sz="4" w:space="0" w:color="auto"/>
              <w:left w:val="single" w:sz="4" w:space="0" w:color="auto"/>
              <w:bottom w:val="single" w:sz="4" w:space="0" w:color="auto"/>
              <w:right w:val="single" w:sz="4" w:space="0" w:color="auto"/>
            </w:tcBorders>
          </w:tcPr>
          <w:p w14:paraId="377A7B27"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70D34C66" w14:textId="77777777" w:rsidR="00D2643B" w:rsidRPr="00B440D4" w:rsidRDefault="00D2643B" w:rsidP="00B440D4">
            <w:pPr>
              <w:spacing w:after="60" w:line="240" w:lineRule="auto"/>
              <w:jc w:val="center"/>
            </w:pPr>
            <w:r w:rsidRPr="00B440D4">
              <w:sym w:font="Wingdings 3" w:char="F021"/>
            </w:r>
            <w:r w:rsidRPr="00B440D4">
              <w:t>Y</w:t>
            </w:r>
          </w:p>
        </w:tc>
        <w:tc>
          <w:tcPr>
            <w:tcW w:w="2070" w:type="dxa"/>
            <w:tcBorders>
              <w:top w:val="single" w:sz="4" w:space="0" w:color="auto"/>
              <w:left w:val="single" w:sz="4" w:space="0" w:color="auto"/>
              <w:bottom w:val="single" w:sz="4" w:space="0" w:color="auto"/>
            </w:tcBorders>
          </w:tcPr>
          <w:p w14:paraId="7526DEF6" w14:textId="77777777" w:rsidR="00D2643B" w:rsidRPr="00B440D4" w:rsidRDefault="00D2643B" w:rsidP="00B440D4">
            <w:pPr>
              <w:spacing w:after="60" w:line="240" w:lineRule="auto"/>
              <w:jc w:val="center"/>
            </w:pPr>
            <w:r w:rsidRPr="00B440D4">
              <w:t>N</w:t>
            </w:r>
          </w:p>
        </w:tc>
      </w:tr>
      <w:tr w:rsidR="00D2643B" w:rsidRPr="00B440D4" w14:paraId="4CD42396" w14:textId="77777777" w:rsidTr="00B440D4">
        <w:trPr>
          <w:trHeight w:val="322"/>
        </w:trPr>
        <w:tc>
          <w:tcPr>
            <w:tcW w:w="1548" w:type="dxa"/>
            <w:tcBorders>
              <w:top w:val="single" w:sz="4" w:space="0" w:color="auto"/>
              <w:bottom w:val="single" w:sz="4" w:space="0" w:color="auto"/>
              <w:right w:val="single" w:sz="4" w:space="0" w:color="auto"/>
            </w:tcBorders>
          </w:tcPr>
          <w:p w14:paraId="2FC668D3" w14:textId="77777777" w:rsidR="00D2643B" w:rsidRPr="00B440D4" w:rsidRDefault="00D2643B" w:rsidP="00B440D4">
            <w:pPr>
              <w:spacing w:after="60" w:line="240" w:lineRule="auto"/>
            </w:pPr>
            <w:r w:rsidRPr="00B440D4">
              <w:t>Canada</w:t>
            </w:r>
          </w:p>
        </w:tc>
        <w:tc>
          <w:tcPr>
            <w:tcW w:w="1350" w:type="dxa"/>
            <w:tcBorders>
              <w:top w:val="single" w:sz="4" w:space="0" w:color="auto"/>
              <w:left w:val="single" w:sz="4" w:space="0" w:color="auto"/>
              <w:bottom w:val="single" w:sz="4" w:space="0" w:color="auto"/>
              <w:right w:val="single" w:sz="4" w:space="0" w:color="auto"/>
            </w:tcBorders>
          </w:tcPr>
          <w:p w14:paraId="69B03EB1"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2961F68D" w14:textId="77777777" w:rsidR="00D2643B" w:rsidRPr="00B440D4" w:rsidRDefault="00D2643B" w:rsidP="00B440D4">
            <w:pPr>
              <w:spacing w:after="60" w:line="240" w:lineRule="auto"/>
              <w:jc w:val="center"/>
              <w:rPr>
                <w:vertAlign w:val="superscript"/>
              </w:rPr>
            </w:pPr>
            <w:r w:rsidRPr="00B440D4">
              <w:t>N</w:t>
            </w:r>
            <w:r w:rsidRPr="00B440D4">
              <w:rPr>
                <w:vertAlign w:val="superscript"/>
              </w:rPr>
              <w:t>3</w:t>
            </w:r>
          </w:p>
        </w:tc>
        <w:tc>
          <w:tcPr>
            <w:tcW w:w="1980" w:type="dxa"/>
            <w:tcBorders>
              <w:top w:val="single" w:sz="4" w:space="0" w:color="auto"/>
              <w:left w:val="single" w:sz="4" w:space="0" w:color="auto"/>
              <w:bottom w:val="single" w:sz="4" w:space="0" w:color="auto"/>
              <w:right w:val="single" w:sz="4" w:space="0" w:color="auto"/>
            </w:tcBorders>
          </w:tcPr>
          <w:p w14:paraId="2E3C486E" w14:textId="77777777" w:rsidR="00D2643B" w:rsidRPr="00B440D4" w:rsidRDefault="00D2643B" w:rsidP="00B440D4">
            <w:pPr>
              <w:spacing w:after="60" w:line="240" w:lineRule="auto"/>
              <w:jc w:val="center"/>
              <w:rPr>
                <w:vertAlign w:val="superscript"/>
              </w:rP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59B36932"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52D776B5" w14:textId="77777777" w:rsidR="00D2643B" w:rsidRPr="00B440D4" w:rsidRDefault="00D2643B" w:rsidP="00B440D4">
            <w:pPr>
              <w:spacing w:after="60" w:line="240" w:lineRule="auto"/>
              <w:jc w:val="center"/>
              <w:rPr>
                <w:vertAlign w:val="superscript"/>
              </w:rP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2EF1EBE6" w14:textId="77777777" w:rsidR="00D2643B" w:rsidRPr="00B440D4" w:rsidRDefault="00D2643B" w:rsidP="00B440D4">
            <w:pPr>
              <w:spacing w:after="60" w:line="240" w:lineRule="auto"/>
              <w:jc w:val="center"/>
            </w:pPr>
            <w:r w:rsidRPr="00B440D4">
              <w:t>N</w:t>
            </w:r>
          </w:p>
        </w:tc>
        <w:tc>
          <w:tcPr>
            <w:tcW w:w="2070" w:type="dxa"/>
            <w:tcBorders>
              <w:top w:val="single" w:sz="4" w:space="0" w:color="auto"/>
              <w:left w:val="single" w:sz="4" w:space="0" w:color="auto"/>
              <w:bottom w:val="single" w:sz="4" w:space="0" w:color="auto"/>
            </w:tcBorders>
          </w:tcPr>
          <w:p w14:paraId="11F3B0D9" w14:textId="77777777" w:rsidR="00D2643B" w:rsidRPr="00B440D4" w:rsidRDefault="00D2643B" w:rsidP="00B440D4">
            <w:pPr>
              <w:spacing w:after="60" w:line="240" w:lineRule="auto"/>
              <w:jc w:val="center"/>
            </w:pPr>
            <w:r w:rsidRPr="00B440D4">
              <w:t>N</w:t>
            </w:r>
            <w:r w:rsidRPr="00B440D4">
              <w:rPr>
                <w:vertAlign w:val="superscript"/>
              </w:rPr>
              <w:t>4</w:t>
            </w:r>
            <w:r w:rsidRPr="00B440D4">
              <w:t xml:space="preserve"> (A)</w:t>
            </w:r>
          </w:p>
        </w:tc>
      </w:tr>
      <w:tr w:rsidR="00D2643B" w:rsidRPr="00B440D4" w14:paraId="17970007" w14:textId="77777777" w:rsidTr="00B440D4">
        <w:trPr>
          <w:trHeight w:val="322"/>
        </w:trPr>
        <w:tc>
          <w:tcPr>
            <w:tcW w:w="1548" w:type="dxa"/>
            <w:tcBorders>
              <w:top w:val="single" w:sz="4" w:space="0" w:color="auto"/>
              <w:bottom w:val="single" w:sz="4" w:space="0" w:color="auto"/>
              <w:right w:val="single" w:sz="4" w:space="0" w:color="auto"/>
            </w:tcBorders>
          </w:tcPr>
          <w:p w14:paraId="01661886" w14:textId="77777777" w:rsidR="00D2643B" w:rsidRPr="00B440D4" w:rsidRDefault="00D2643B" w:rsidP="00B440D4">
            <w:pPr>
              <w:spacing w:after="60" w:line="240" w:lineRule="auto"/>
            </w:pPr>
            <w:r w:rsidRPr="00B440D4">
              <w:t>China</w:t>
            </w:r>
          </w:p>
        </w:tc>
        <w:tc>
          <w:tcPr>
            <w:tcW w:w="1350" w:type="dxa"/>
            <w:tcBorders>
              <w:top w:val="single" w:sz="4" w:space="0" w:color="auto"/>
              <w:left w:val="single" w:sz="4" w:space="0" w:color="auto"/>
              <w:bottom w:val="single" w:sz="4" w:space="0" w:color="auto"/>
              <w:right w:val="single" w:sz="4" w:space="0" w:color="auto"/>
            </w:tcBorders>
          </w:tcPr>
          <w:p w14:paraId="44C776CA"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3325005F"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2D8C0B6A"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709E9F3F"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10502781"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6E083DD4" w14:textId="77777777" w:rsidR="00D2643B" w:rsidRPr="00B440D4" w:rsidRDefault="00D2643B" w:rsidP="00B440D4">
            <w:pPr>
              <w:spacing w:after="60" w:line="240" w:lineRule="auto"/>
              <w:jc w:val="center"/>
            </w:pPr>
            <w:r w:rsidRPr="00B440D4">
              <w:t>N</w:t>
            </w:r>
          </w:p>
        </w:tc>
        <w:tc>
          <w:tcPr>
            <w:tcW w:w="2070" w:type="dxa"/>
            <w:tcBorders>
              <w:top w:val="single" w:sz="4" w:space="0" w:color="auto"/>
              <w:left w:val="single" w:sz="4" w:space="0" w:color="auto"/>
              <w:bottom w:val="single" w:sz="4" w:space="0" w:color="auto"/>
            </w:tcBorders>
          </w:tcPr>
          <w:p w14:paraId="4D38D02C" w14:textId="77777777" w:rsidR="00D2643B" w:rsidRPr="00B440D4" w:rsidRDefault="00D2643B" w:rsidP="00B440D4">
            <w:pPr>
              <w:spacing w:after="60" w:line="240" w:lineRule="auto"/>
              <w:jc w:val="center"/>
            </w:pPr>
            <w:r w:rsidRPr="00B440D4">
              <w:t>N</w:t>
            </w:r>
          </w:p>
        </w:tc>
      </w:tr>
      <w:tr w:rsidR="00D2643B" w:rsidRPr="00B440D4" w14:paraId="733DF5B2" w14:textId="77777777" w:rsidTr="00B440D4">
        <w:trPr>
          <w:trHeight w:val="322"/>
        </w:trPr>
        <w:tc>
          <w:tcPr>
            <w:tcW w:w="1548" w:type="dxa"/>
            <w:tcBorders>
              <w:top w:val="single" w:sz="4" w:space="0" w:color="auto"/>
              <w:bottom w:val="single" w:sz="4" w:space="0" w:color="auto"/>
              <w:right w:val="single" w:sz="4" w:space="0" w:color="auto"/>
            </w:tcBorders>
          </w:tcPr>
          <w:p w14:paraId="16E8D06E" w14:textId="77777777" w:rsidR="00D2643B" w:rsidRPr="00B440D4" w:rsidRDefault="00D2643B" w:rsidP="00B440D4">
            <w:pPr>
              <w:spacing w:after="60" w:line="240" w:lineRule="auto"/>
            </w:pPr>
            <w:r w:rsidRPr="00B440D4">
              <w:t>France</w:t>
            </w:r>
          </w:p>
        </w:tc>
        <w:tc>
          <w:tcPr>
            <w:tcW w:w="1350" w:type="dxa"/>
            <w:tcBorders>
              <w:top w:val="single" w:sz="4" w:space="0" w:color="auto"/>
              <w:left w:val="single" w:sz="4" w:space="0" w:color="auto"/>
              <w:bottom w:val="single" w:sz="4" w:space="0" w:color="auto"/>
              <w:right w:val="single" w:sz="4" w:space="0" w:color="auto"/>
            </w:tcBorders>
          </w:tcPr>
          <w:p w14:paraId="7C90D52A" w14:textId="77777777" w:rsidR="00D2643B" w:rsidRPr="00B440D4" w:rsidRDefault="00D2643B" w:rsidP="00B440D4">
            <w:pPr>
              <w:spacing w:after="60" w:line="240" w:lineRule="auto"/>
              <w:jc w:val="center"/>
            </w:pPr>
            <w:r w:rsidRPr="00B440D4">
              <w:t xml:space="preserve">N </w:t>
            </w:r>
          </w:p>
        </w:tc>
        <w:tc>
          <w:tcPr>
            <w:tcW w:w="1350" w:type="dxa"/>
            <w:tcBorders>
              <w:top w:val="single" w:sz="4" w:space="0" w:color="auto"/>
              <w:left w:val="single" w:sz="4" w:space="0" w:color="auto"/>
              <w:bottom w:val="single" w:sz="4" w:space="0" w:color="auto"/>
              <w:right w:val="single" w:sz="4" w:space="0" w:color="auto"/>
            </w:tcBorders>
          </w:tcPr>
          <w:p w14:paraId="5B4E97DA"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7124801A"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20535398"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37BAA24B"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0DF0FA4E" w14:textId="77777777" w:rsidR="00D2643B" w:rsidRPr="00B440D4" w:rsidRDefault="00D2643B" w:rsidP="00B440D4">
            <w:pPr>
              <w:spacing w:after="60" w:line="240" w:lineRule="auto"/>
              <w:jc w:val="center"/>
            </w:pPr>
            <w:r w:rsidRPr="00B440D4">
              <w:t>Y (2005)</w:t>
            </w:r>
          </w:p>
        </w:tc>
        <w:tc>
          <w:tcPr>
            <w:tcW w:w="2070" w:type="dxa"/>
            <w:tcBorders>
              <w:top w:val="single" w:sz="4" w:space="0" w:color="auto"/>
              <w:left w:val="single" w:sz="4" w:space="0" w:color="auto"/>
              <w:bottom w:val="single" w:sz="4" w:space="0" w:color="auto"/>
            </w:tcBorders>
          </w:tcPr>
          <w:p w14:paraId="70BF3AC1" w14:textId="77777777" w:rsidR="00D2643B" w:rsidRPr="00B440D4" w:rsidRDefault="00D2643B" w:rsidP="00B440D4">
            <w:pPr>
              <w:spacing w:after="60" w:line="240" w:lineRule="auto"/>
              <w:jc w:val="center"/>
            </w:pPr>
            <w:r w:rsidRPr="00B440D4">
              <w:t>N</w:t>
            </w:r>
          </w:p>
        </w:tc>
      </w:tr>
      <w:tr w:rsidR="00D2643B" w:rsidRPr="00B440D4" w14:paraId="2B9243D9" w14:textId="77777777" w:rsidTr="00B440D4">
        <w:trPr>
          <w:trHeight w:val="322"/>
        </w:trPr>
        <w:tc>
          <w:tcPr>
            <w:tcW w:w="1548" w:type="dxa"/>
            <w:tcBorders>
              <w:top w:val="single" w:sz="4" w:space="0" w:color="auto"/>
              <w:bottom w:val="single" w:sz="4" w:space="0" w:color="auto"/>
              <w:right w:val="single" w:sz="4" w:space="0" w:color="auto"/>
            </w:tcBorders>
          </w:tcPr>
          <w:p w14:paraId="2B07A9F9" w14:textId="77777777" w:rsidR="00D2643B" w:rsidRPr="00B440D4" w:rsidRDefault="00D2643B" w:rsidP="00B440D4">
            <w:pPr>
              <w:spacing w:after="60" w:line="240" w:lineRule="auto"/>
            </w:pPr>
            <w:r w:rsidRPr="00B440D4">
              <w:t>Germany</w:t>
            </w:r>
          </w:p>
        </w:tc>
        <w:tc>
          <w:tcPr>
            <w:tcW w:w="1350" w:type="dxa"/>
            <w:tcBorders>
              <w:top w:val="single" w:sz="4" w:space="0" w:color="auto"/>
              <w:left w:val="single" w:sz="4" w:space="0" w:color="auto"/>
              <w:bottom w:val="single" w:sz="4" w:space="0" w:color="auto"/>
              <w:right w:val="single" w:sz="4" w:space="0" w:color="auto"/>
            </w:tcBorders>
          </w:tcPr>
          <w:p w14:paraId="6010761E"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729053BB"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25E93049"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7DEE2407"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33E913A2"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0FA307B2" w14:textId="77777777" w:rsidR="00D2643B" w:rsidRPr="00B440D4" w:rsidRDefault="00D2643B" w:rsidP="00B440D4">
            <w:pPr>
              <w:spacing w:after="60" w:line="240" w:lineRule="auto"/>
              <w:jc w:val="center"/>
              <w:rPr>
                <w:vertAlign w:val="superscript"/>
              </w:rPr>
            </w:pPr>
            <w:r w:rsidRPr="00B440D4">
              <w:t>Y (2007)</w:t>
            </w:r>
            <w:r w:rsidRPr="00B440D4">
              <w:rPr>
                <w:vertAlign w:val="superscript"/>
              </w:rPr>
              <w:t>5</w:t>
            </w:r>
          </w:p>
        </w:tc>
        <w:tc>
          <w:tcPr>
            <w:tcW w:w="2070" w:type="dxa"/>
            <w:tcBorders>
              <w:top w:val="single" w:sz="4" w:space="0" w:color="auto"/>
              <w:left w:val="single" w:sz="4" w:space="0" w:color="auto"/>
              <w:bottom w:val="single" w:sz="4" w:space="0" w:color="auto"/>
            </w:tcBorders>
          </w:tcPr>
          <w:p w14:paraId="7C6AE2F8" w14:textId="77777777" w:rsidR="00D2643B" w:rsidRPr="00B440D4" w:rsidRDefault="00D2643B" w:rsidP="00B440D4">
            <w:pPr>
              <w:spacing w:after="60" w:line="240" w:lineRule="auto"/>
              <w:jc w:val="center"/>
              <w:rPr>
                <w:vertAlign w:val="superscript"/>
              </w:rPr>
            </w:pPr>
            <w:r w:rsidRPr="00B440D4">
              <w:t>N</w:t>
            </w:r>
            <w:r w:rsidRPr="00B440D4">
              <w:rPr>
                <w:vertAlign w:val="superscript"/>
              </w:rPr>
              <w:t>6</w:t>
            </w:r>
          </w:p>
        </w:tc>
      </w:tr>
      <w:tr w:rsidR="00D2643B" w:rsidRPr="00B440D4" w14:paraId="2290E8BC" w14:textId="77777777" w:rsidTr="00B440D4">
        <w:trPr>
          <w:trHeight w:val="345"/>
        </w:trPr>
        <w:tc>
          <w:tcPr>
            <w:tcW w:w="1548" w:type="dxa"/>
            <w:tcBorders>
              <w:top w:val="single" w:sz="4" w:space="0" w:color="auto"/>
              <w:bottom w:val="single" w:sz="4" w:space="0" w:color="auto"/>
              <w:right w:val="single" w:sz="4" w:space="0" w:color="auto"/>
            </w:tcBorders>
          </w:tcPr>
          <w:p w14:paraId="2541AA22" w14:textId="77777777" w:rsidR="00D2643B" w:rsidRPr="00B440D4" w:rsidRDefault="00D2643B" w:rsidP="00B440D4">
            <w:pPr>
              <w:spacing w:after="60" w:line="240" w:lineRule="auto"/>
              <w:rPr>
                <w:vertAlign w:val="superscript"/>
              </w:rPr>
            </w:pPr>
            <w:r w:rsidRPr="00B440D4">
              <w:t>Hong Kong</w:t>
            </w:r>
            <w:r w:rsidRPr="00B440D4">
              <w:rPr>
                <w:vertAlign w:val="superscript"/>
              </w:rPr>
              <w:t>7</w:t>
            </w:r>
          </w:p>
        </w:tc>
        <w:tc>
          <w:tcPr>
            <w:tcW w:w="1350" w:type="dxa"/>
            <w:tcBorders>
              <w:top w:val="single" w:sz="4" w:space="0" w:color="auto"/>
              <w:left w:val="single" w:sz="4" w:space="0" w:color="auto"/>
              <w:bottom w:val="single" w:sz="4" w:space="0" w:color="auto"/>
              <w:right w:val="single" w:sz="4" w:space="0" w:color="auto"/>
            </w:tcBorders>
          </w:tcPr>
          <w:p w14:paraId="6328AD12"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2A8479C3"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373FE8BC"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29D0454C"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35FF35A6"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1AB9EE42" w14:textId="77777777" w:rsidR="00D2643B" w:rsidRPr="00B440D4" w:rsidRDefault="00D2643B" w:rsidP="00B440D4">
            <w:pPr>
              <w:spacing w:after="60" w:line="240" w:lineRule="auto"/>
              <w:jc w:val="center"/>
            </w:pPr>
            <w:r w:rsidRPr="00B440D4">
              <w:t>N</w:t>
            </w:r>
          </w:p>
        </w:tc>
        <w:tc>
          <w:tcPr>
            <w:tcW w:w="2070" w:type="dxa"/>
            <w:tcBorders>
              <w:top w:val="single" w:sz="4" w:space="0" w:color="auto"/>
              <w:left w:val="single" w:sz="4" w:space="0" w:color="auto"/>
              <w:bottom w:val="single" w:sz="4" w:space="0" w:color="auto"/>
            </w:tcBorders>
          </w:tcPr>
          <w:p w14:paraId="69F6225B" w14:textId="77777777" w:rsidR="00D2643B" w:rsidRPr="00B440D4" w:rsidRDefault="00D2643B" w:rsidP="00B440D4">
            <w:pPr>
              <w:spacing w:after="60" w:line="240" w:lineRule="auto"/>
              <w:jc w:val="center"/>
            </w:pPr>
            <w:r w:rsidRPr="00B440D4">
              <w:t>N</w:t>
            </w:r>
          </w:p>
        </w:tc>
      </w:tr>
      <w:tr w:rsidR="00D2643B" w:rsidRPr="00B440D4" w14:paraId="04E32865" w14:textId="77777777" w:rsidTr="00B440D4">
        <w:trPr>
          <w:trHeight w:val="322"/>
        </w:trPr>
        <w:tc>
          <w:tcPr>
            <w:tcW w:w="1548" w:type="dxa"/>
            <w:tcBorders>
              <w:top w:val="single" w:sz="4" w:space="0" w:color="auto"/>
              <w:bottom w:val="single" w:sz="4" w:space="0" w:color="auto"/>
              <w:right w:val="single" w:sz="4" w:space="0" w:color="auto"/>
            </w:tcBorders>
          </w:tcPr>
          <w:p w14:paraId="2C3D2873" w14:textId="77777777" w:rsidR="00D2643B" w:rsidRPr="00B440D4" w:rsidRDefault="00D2643B" w:rsidP="00B440D4">
            <w:pPr>
              <w:spacing w:after="60" w:line="240" w:lineRule="auto"/>
            </w:pPr>
            <w:r w:rsidRPr="00B440D4">
              <w:t>India</w:t>
            </w:r>
          </w:p>
        </w:tc>
        <w:tc>
          <w:tcPr>
            <w:tcW w:w="1350" w:type="dxa"/>
            <w:tcBorders>
              <w:top w:val="single" w:sz="4" w:space="0" w:color="auto"/>
              <w:left w:val="single" w:sz="4" w:space="0" w:color="auto"/>
              <w:bottom w:val="single" w:sz="4" w:space="0" w:color="auto"/>
              <w:right w:val="single" w:sz="4" w:space="0" w:color="auto"/>
            </w:tcBorders>
          </w:tcPr>
          <w:p w14:paraId="41458770"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2369AE5A"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2852844B"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00AA03AC" w14:textId="77777777" w:rsidR="00D2643B" w:rsidRPr="00B440D4" w:rsidRDefault="00D2643B" w:rsidP="00B440D4">
            <w:pPr>
              <w:spacing w:after="60" w:line="240" w:lineRule="auto"/>
              <w:jc w:val="center"/>
              <w:rPr>
                <w:vertAlign w:val="superscript"/>
              </w:rPr>
            </w:pPr>
            <w:r w:rsidRPr="00B440D4">
              <w:t>N</w:t>
            </w:r>
            <w:r w:rsidRPr="00B440D4">
              <w:rPr>
                <w:vertAlign w:val="superscript"/>
              </w:rPr>
              <w:t>8</w:t>
            </w:r>
          </w:p>
        </w:tc>
        <w:tc>
          <w:tcPr>
            <w:tcW w:w="1800" w:type="dxa"/>
            <w:tcBorders>
              <w:top w:val="single" w:sz="4" w:space="0" w:color="auto"/>
              <w:left w:val="single" w:sz="4" w:space="0" w:color="auto"/>
              <w:bottom w:val="single" w:sz="4" w:space="0" w:color="auto"/>
              <w:right w:val="single" w:sz="4" w:space="0" w:color="auto"/>
            </w:tcBorders>
          </w:tcPr>
          <w:p w14:paraId="155B8978"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73B58BF8" w14:textId="77777777" w:rsidR="00D2643B" w:rsidRPr="00B440D4" w:rsidRDefault="00D2643B" w:rsidP="00B440D4">
            <w:pPr>
              <w:spacing w:after="60" w:line="240" w:lineRule="auto"/>
              <w:jc w:val="center"/>
            </w:pPr>
            <w:r w:rsidRPr="00B440D4">
              <w:t>N</w:t>
            </w:r>
          </w:p>
        </w:tc>
        <w:tc>
          <w:tcPr>
            <w:tcW w:w="2070" w:type="dxa"/>
            <w:tcBorders>
              <w:top w:val="single" w:sz="4" w:space="0" w:color="auto"/>
              <w:left w:val="single" w:sz="4" w:space="0" w:color="auto"/>
              <w:bottom w:val="single" w:sz="4" w:space="0" w:color="auto"/>
            </w:tcBorders>
          </w:tcPr>
          <w:p w14:paraId="16C7AA76" w14:textId="77777777" w:rsidR="00D2643B" w:rsidRPr="00B440D4" w:rsidRDefault="00D2643B" w:rsidP="00B440D4">
            <w:pPr>
              <w:spacing w:after="60" w:line="240" w:lineRule="auto"/>
              <w:jc w:val="center"/>
            </w:pPr>
            <w:r w:rsidRPr="00B440D4">
              <w:t>N</w:t>
            </w:r>
          </w:p>
        </w:tc>
      </w:tr>
      <w:tr w:rsidR="00D2643B" w:rsidRPr="00B440D4" w14:paraId="798CFB34" w14:textId="77777777" w:rsidTr="00B440D4">
        <w:trPr>
          <w:trHeight w:val="322"/>
        </w:trPr>
        <w:tc>
          <w:tcPr>
            <w:tcW w:w="1548" w:type="dxa"/>
            <w:tcBorders>
              <w:top w:val="single" w:sz="4" w:space="0" w:color="auto"/>
              <w:bottom w:val="single" w:sz="4" w:space="0" w:color="auto"/>
              <w:right w:val="single" w:sz="4" w:space="0" w:color="auto"/>
            </w:tcBorders>
          </w:tcPr>
          <w:p w14:paraId="19914EA9" w14:textId="77777777" w:rsidR="00D2643B" w:rsidRPr="00B440D4" w:rsidRDefault="00D2643B" w:rsidP="00B440D4">
            <w:pPr>
              <w:spacing w:after="60" w:line="240" w:lineRule="auto"/>
            </w:pPr>
            <w:r w:rsidRPr="00B440D4">
              <w:t>Japan</w:t>
            </w:r>
          </w:p>
        </w:tc>
        <w:tc>
          <w:tcPr>
            <w:tcW w:w="1350" w:type="dxa"/>
            <w:tcBorders>
              <w:top w:val="single" w:sz="4" w:space="0" w:color="auto"/>
              <w:left w:val="single" w:sz="4" w:space="0" w:color="auto"/>
              <w:bottom w:val="single" w:sz="4" w:space="0" w:color="auto"/>
              <w:right w:val="single" w:sz="4" w:space="0" w:color="auto"/>
            </w:tcBorders>
          </w:tcPr>
          <w:p w14:paraId="7683640F"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29A29C45" w14:textId="77777777" w:rsidR="00D2643B" w:rsidRPr="00B440D4" w:rsidRDefault="00D2643B" w:rsidP="00B440D4">
            <w:pPr>
              <w:spacing w:after="60" w:line="240" w:lineRule="auto"/>
              <w:jc w:val="center"/>
              <w:rPr>
                <w:vertAlign w:val="superscript"/>
              </w:rPr>
            </w:pPr>
            <w:r w:rsidRPr="00B440D4">
              <w:t>N</w:t>
            </w:r>
            <w:r w:rsidRPr="00B440D4">
              <w:rPr>
                <w:vertAlign w:val="superscript"/>
              </w:rPr>
              <w:t>9</w:t>
            </w:r>
          </w:p>
        </w:tc>
        <w:tc>
          <w:tcPr>
            <w:tcW w:w="1980" w:type="dxa"/>
            <w:tcBorders>
              <w:top w:val="single" w:sz="4" w:space="0" w:color="auto"/>
              <w:left w:val="single" w:sz="4" w:space="0" w:color="auto"/>
              <w:bottom w:val="single" w:sz="4" w:space="0" w:color="auto"/>
              <w:right w:val="single" w:sz="4" w:space="0" w:color="auto"/>
            </w:tcBorders>
          </w:tcPr>
          <w:p w14:paraId="5E51D09E"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03BD172B"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082E70F7"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78B06AE0" w14:textId="77777777" w:rsidR="00D2643B" w:rsidRPr="00B440D4" w:rsidRDefault="00D2643B" w:rsidP="00B440D4">
            <w:pPr>
              <w:spacing w:after="60" w:line="240" w:lineRule="auto"/>
              <w:jc w:val="center"/>
            </w:pPr>
            <w:r w:rsidRPr="00B440D4">
              <w:t>N</w:t>
            </w:r>
          </w:p>
        </w:tc>
        <w:tc>
          <w:tcPr>
            <w:tcW w:w="2070" w:type="dxa"/>
            <w:tcBorders>
              <w:top w:val="single" w:sz="4" w:space="0" w:color="auto"/>
              <w:left w:val="single" w:sz="4" w:space="0" w:color="auto"/>
              <w:bottom w:val="single" w:sz="4" w:space="0" w:color="auto"/>
            </w:tcBorders>
          </w:tcPr>
          <w:p w14:paraId="23010797" w14:textId="77777777" w:rsidR="00D2643B" w:rsidRPr="00B440D4" w:rsidRDefault="00D2643B" w:rsidP="00B440D4">
            <w:pPr>
              <w:spacing w:after="60" w:line="240" w:lineRule="auto"/>
              <w:jc w:val="center"/>
            </w:pPr>
            <w:r w:rsidRPr="00B440D4">
              <w:t>N</w:t>
            </w:r>
          </w:p>
        </w:tc>
      </w:tr>
      <w:tr w:rsidR="00D2643B" w:rsidRPr="00B440D4" w14:paraId="51B3BDC5" w14:textId="77777777" w:rsidTr="00B440D4">
        <w:trPr>
          <w:trHeight w:val="322"/>
        </w:trPr>
        <w:tc>
          <w:tcPr>
            <w:tcW w:w="1548" w:type="dxa"/>
            <w:tcBorders>
              <w:top w:val="single" w:sz="4" w:space="0" w:color="auto"/>
              <w:bottom w:val="single" w:sz="4" w:space="0" w:color="auto"/>
              <w:right w:val="single" w:sz="4" w:space="0" w:color="auto"/>
            </w:tcBorders>
          </w:tcPr>
          <w:p w14:paraId="308DE171" w14:textId="77777777" w:rsidR="00D2643B" w:rsidRPr="00B440D4" w:rsidRDefault="00D2643B" w:rsidP="00B440D4">
            <w:pPr>
              <w:spacing w:after="60" w:line="240" w:lineRule="auto"/>
            </w:pPr>
            <w:r w:rsidRPr="00B440D4">
              <w:t>Russia</w:t>
            </w:r>
          </w:p>
        </w:tc>
        <w:tc>
          <w:tcPr>
            <w:tcW w:w="1350" w:type="dxa"/>
            <w:tcBorders>
              <w:top w:val="single" w:sz="4" w:space="0" w:color="auto"/>
              <w:left w:val="single" w:sz="4" w:space="0" w:color="auto"/>
              <w:bottom w:val="single" w:sz="4" w:space="0" w:color="auto"/>
              <w:right w:val="single" w:sz="4" w:space="0" w:color="auto"/>
            </w:tcBorders>
          </w:tcPr>
          <w:p w14:paraId="4E0E8717"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1E614B6F" w14:textId="77777777" w:rsidR="00D2643B" w:rsidRPr="00B440D4" w:rsidRDefault="00D2643B" w:rsidP="00B440D4">
            <w:pPr>
              <w:spacing w:after="60" w:line="240" w:lineRule="auto"/>
              <w:jc w:val="center"/>
              <w:rPr>
                <w:vertAlign w:val="superscript"/>
              </w:rPr>
            </w:pPr>
            <w:r w:rsidRPr="00B440D4">
              <w:t>Y(2012)</w:t>
            </w:r>
            <w:r w:rsidRPr="00B440D4">
              <w:rPr>
                <w:vertAlign w:val="superscript"/>
              </w:rPr>
              <w:t>10</w:t>
            </w:r>
          </w:p>
        </w:tc>
        <w:tc>
          <w:tcPr>
            <w:tcW w:w="1980" w:type="dxa"/>
            <w:tcBorders>
              <w:top w:val="single" w:sz="4" w:space="0" w:color="auto"/>
              <w:left w:val="single" w:sz="4" w:space="0" w:color="auto"/>
              <w:bottom w:val="single" w:sz="4" w:space="0" w:color="auto"/>
              <w:right w:val="single" w:sz="4" w:space="0" w:color="auto"/>
            </w:tcBorders>
          </w:tcPr>
          <w:p w14:paraId="15979F25"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74C0FC4B" w14:textId="77777777" w:rsidR="00D2643B" w:rsidRPr="00B440D4" w:rsidRDefault="00D2643B" w:rsidP="00B440D4">
            <w:pPr>
              <w:spacing w:after="60" w:line="240" w:lineRule="auto"/>
              <w:jc w:val="center"/>
            </w:pPr>
            <w:r w:rsidRPr="00B440D4">
              <w:sym w:font="Wingdings 3" w:char="F021"/>
            </w:r>
            <w:r w:rsidRPr="00B440D4">
              <w:t>Y</w:t>
            </w:r>
          </w:p>
        </w:tc>
        <w:tc>
          <w:tcPr>
            <w:tcW w:w="1800" w:type="dxa"/>
            <w:tcBorders>
              <w:top w:val="single" w:sz="4" w:space="0" w:color="auto"/>
              <w:left w:val="single" w:sz="4" w:space="0" w:color="auto"/>
              <w:bottom w:val="single" w:sz="4" w:space="0" w:color="auto"/>
              <w:right w:val="single" w:sz="4" w:space="0" w:color="auto"/>
            </w:tcBorders>
          </w:tcPr>
          <w:p w14:paraId="2A9BCFBE"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367D87A9" w14:textId="77777777" w:rsidR="00D2643B" w:rsidRPr="00B440D4" w:rsidRDefault="00D2643B" w:rsidP="00B440D4">
            <w:pPr>
              <w:spacing w:after="60" w:line="240" w:lineRule="auto"/>
              <w:jc w:val="center"/>
            </w:pPr>
            <w:r w:rsidRPr="00B440D4">
              <w:sym w:font="Wingdings 3" w:char="F021"/>
            </w:r>
            <w:r w:rsidRPr="00B440D4">
              <w:t>Y</w:t>
            </w:r>
          </w:p>
        </w:tc>
        <w:tc>
          <w:tcPr>
            <w:tcW w:w="2070" w:type="dxa"/>
            <w:tcBorders>
              <w:top w:val="single" w:sz="4" w:space="0" w:color="auto"/>
              <w:left w:val="single" w:sz="4" w:space="0" w:color="auto"/>
              <w:bottom w:val="single" w:sz="4" w:space="0" w:color="auto"/>
            </w:tcBorders>
          </w:tcPr>
          <w:p w14:paraId="08CA3DDB" w14:textId="77777777" w:rsidR="00D2643B" w:rsidRPr="00B440D4" w:rsidRDefault="00D2643B" w:rsidP="00B440D4">
            <w:pPr>
              <w:spacing w:after="60" w:line="240" w:lineRule="auto"/>
              <w:jc w:val="center"/>
            </w:pPr>
            <w:r w:rsidRPr="00B440D4">
              <w:t>N</w:t>
            </w:r>
          </w:p>
        </w:tc>
      </w:tr>
      <w:tr w:rsidR="00D2643B" w:rsidRPr="00B440D4" w14:paraId="29B52310" w14:textId="77777777" w:rsidTr="00B440D4">
        <w:trPr>
          <w:trHeight w:val="322"/>
        </w:trPr>
        <w:tc>
          <w:tcPr>
            <w:tcW w:w="1548" w:type="dxa"/>
            <w:tcBorders>
              <w:top w:val="single" w:sz="4" w:space="0" w:color="auto"/>
              <w:bottom w:val="single" w:sz="4" w:space="0" w:color="auto"/>
              <w:right w:val="single" w:sz="4" w:space="0" w:color="auto"/>
            </w:tcBorders>
          </w:tcPr>
          <w:p w14:paraId="778405C8" w14:textId="77777777" w:rsidR="00D2643B" w:rsidRPr="00B440D4" w:rsidRDefault="00D2643B" w:rsidP="00B440D4">
            <w:pPr>
              <w:spacing w:after="60" w:line="240" w:lineRule="auto"/>
            </w:pPr>
            <w:r w:rsidRPr="00B440D4">
              <w:t>South Africa</w:t>
            </w:r>
          </w:p>
        </w:tc>
        <w:tc>
          <w:tcPr>
            <w:tcW w:w="1350" w:type="dxa"/>
            <w:tcBorders>
              <w:top w:val="single" w:sz="4" w:space="0" w:color="auto"/>
              <w:left w:val="single" w:sz="4" w:space="0" w:color="auto"/>
              <w:bottom w:val="single" w:sz="4" w:space="0" w:color="auto"/>
              <w:right w:val="single" w:sz="4" w:space="0" w:color="auto"/>
            </w:tcBorders>
          </w:tcPr>
          <w:p w14:paraId="1EDEB3FB"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60AB746E" w14:textId="77777777" w:rsidR="00D2643B" w:rsidRPr="00B440D4" w:rsidRDefault="00D2643B" w:rsidP="00B440D4">
            <w:pPr>
              <w:spacing w:after="60" w:line="240" w:lineRule="auto"/>
              <w:jc w:val="center"/>
            </w:pPr>
            <w:r w:rsidRPr="00B440D4">
              <w:t>Y (2005)</w:t>
            </w:r>
          </w:p>
        </w:tc>
        <w:tc>
          <w:tcPr>
            <w:tcW w:w="1980" w:type="dxa"/>
            <w:tcBorders>
              <w:top w:val="single" w:sz="4" w:space="0" w:color="auto"/>
              <w:left w:val="single" w:sz="4" w:space="0" w:color="auto"/>
              <w:bottom w:val="single" w:sz="4" w:space="0" w:color="auto"/>
              <w:right w:val="single" w:sz="4" w:space="0" w:color="auto"/>
            </w:tcBorders>
          </w:tcPr>
          <w:p w14:paraId="2C9E8E68"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59C9FB94" w14:textId="77777777" w:rsidR="00D2643B" w:rsidRPr="00B440D4" w:rsidRDefault="00D2643B" w:rsidP="00B440D4">
            <w:pPr>
              <w:spacing w:after="60" w:line="240" w:lineRule="auto"/>
              <w:jc w:val="center"/>
            </w:pPr>
            <w:r w:rsidRPr="00B440D4">
              <w:sym w:font="Wingdings 3" w:char="F021"/>
            </w:r>
            <w:r w:rsidRPr="00B440D4">
              <w:t>Y</w:t>
            </w:r>
          </w:p>
        </w:tc>
        <w:tc>
          <w:tcPr>
            <w:tcW w:w="1800" w:type="dxa"/>
            <w:tcBorders>
              <w:top w:val="single" w:sz="4" w:space="0" w:color="auto"/>
              <w:left w:val="single" w:sz="4" w:space="0" w:color="auto"/>
              <w:bottom w:val="single" w:sz="4" w:space="0" w:color="auto"/>
              <w:right w:val="single" w:sz="4" w:space="0" w:color="auto"/>
            </w:tcBorders>
          </w:tcPr>
          <w:p w14:paraId="34C547C4"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0F5EEC5E" w14:textId="77777777" w:rsidR="00D2643B" w:rsidRPr="00B440D4" w:rsidRDefault="00D2643B" w:rsidP="00B440D4">
            <w:pPr>
              <w:spacing w:after="60" w:line="240" w:lineRule="auto"/>
              <w:jc w:val="center"/>
            </w:pPr>
            <w:r>
              <w:t>←</w:t>
            </w:r>
            <w:r w:rsidRPr="00B440D4">
              <w:t>Y</w:t>
            </w:r>
          </w:p>
        </w:tc>
        <w:tc>
          <w:tcPr>
            <w:tcW w:w="2070" w:type="dxa"/>
            <w:tcBorders>
              <w:top w:val="single" w:sz="4" w:space="0" w:color="auto"/>
              <w:left w:val="single" w:sz="4" w:space="0" w:color="auto"/>
              <w:bottom w:val="single" w:sz="4" w:space="0" w:color="auto"/>
            </w:tcBorders>
          </w:tcPr>
          <w:p w14:paraId="479E9489" w14:textId="77777777" w:rsidR="00D2643B" w:rsidRPr="00B440D4" w:rsidRDefault="00D2643B" w:rsidP="00B440D4">
            <w:pPr>
              <w:spacing w:after="60" w:line="240" w:lineRule="auto"/>
              <w:jc w:val="center"/>
            </w:pPr>
            <w:r w:rsidRPr="00B440D4">
              <w:t>N (A)</w:t>
            </w:r>
          </w:p>
        </w:tc>
      </w:tr>
      <w:tr w:rsidR="00D2643B" w:rsidRPr="00B440D4" w14:paraId="656EE97F" w14:textId="77777777" w:rsidTr="00B440D4">
        <w:trPr>
          <w:trHeight w:val="322"/>
        </w:trPr>
        <w:tc>
          <w:tcPr>
            <w:tcW w:w="1548" w:type="dxa"/>
            <w:tcBorders>
              <w:top w:val="single" w:sz="4" w:space="0" w:color="auto"/>
              <w:bottom w:val="single" w:sz="4" w:space="0" w:color="auto"/>
              <w:right w:val="single" w:sz="4" w:space="0" w:color="auto"/>
            </w:tcBorders>
          </w:tcPr>
          <w:p w14:paraId="250EE7BE" w14:textId="77777777" w:rsidR="00D2643B" w:rsidRPr="00B440D4" w:rsidRDefault="00D2643B" w:rsidP="00B440D4">
            <w:pPr>
              <w:spacing w:after="60" w:line="240" w:lineRule="auto"/>
            </w:pPr>
            <w:r w:rsidRPr="00B440D4">
              <w:t>South Korea</w:t>
            </w:r>
          </w:p>
        </w:tc>
        <w:tc>
          <w:tcPr>
            <w:tcW w:w="1350" w:type="dxa"/>
            <w:tcBorders>
              <w:top w:val="single" w:sz="4" w:space="0" w:color="auto"/>
              <w:left w:val="single" w:sz="4" w:space="0" w:color="auto"/>
              <w:bottom w:val="single" w:sz="4" w:space="0" w:color="auto"/>
              <w:right w:val="single" w:sz="4" w:space="0" w:color="auto"/>
            </w:tcBorders>
          </w:tcPr>
          <w:p w14:paraId="47DD3013"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0B8A30C2"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4F7D2C83"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1021739C" w14:textId="77777777" w:rsidR="00D2643B" w:rsidRPr="00B440D4" w:rsidRDefault="00D2643B" w:rsidP="00B440D4">
            <w:pPr>
              <w:spacing w:after="60" w:line="240" w:lineRule="auto"/>
              <w:jc w:val="center"/>
            </w:pPr>
            <w:r w:rsidRPr="00B440D4">
              <w:t>Y</w:t>
            </w:r>
            <w:r w:rsidRPr="00B440D4">
              <w:rPr>
                <w:vertAlign w:val="superscript"/>
              </w:rPr>
              <w:t>11</w:t>
            </w:r>
            <w:r w:rsidRPr="00B440D4">
              <w:t xml:space="preserve"> (2011)</w:t>
            </w:r>
          </w:p>
        </w:tc>
        <w:tc>
          <w:tcPr>
            <w:tcW w:w="1800" w:type="dxa"/>
            <w:tcBorders>
              <w:top w:val="single" w:sz="4" w:space="0" w:color="auto"/>
              <w:left w:val="single" w:sz="4" w:space="0" w:color="auto"/>
              <w:bottom w:val="single" w:sz="4" w:space="0" w:color="auto"/>
              <w:right w:val="single" w:sz="4" w:space="0" w:color="auto"/>
            </w:tcBorders>
          </w:tcPr>
          <w:p w14:paraId="6E5CEF3A"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7E526FD0" w14:textId="77777777" w:rsidR="00D2643B" w:rsidRPr="00B440D4" w:rsidRDefault="00D2643B" w:rsidP="00B440D4">
            <w:pPr>
              <w:spacing w:after="60" w:line="240" w:lineRule="auto"/>
              <w:jc w:val="center"/>
            </w:pPr>
            <w:r w:rsidRPr="00B440D4">
              <w:sym w:font="Wingdings 3" w:char="F021"/>
            </w:r>
            <w:r w:rsidRPr="00B440D4">
              <w:t>Y</w:t>
            </w:r>
          </w:p>
        </w:tc>
        <w:tc>
          <w:tcPr>
            <w:tcW w:w="2070" w:type="dxa"/>
            <w:tcBorders>
              <w:top w:val="single" w:sz="4" w:space="0" w:color="auto"/>
              <w:left w:val="single" w:sz="4" w:space="0" w:color="auto"/>
              <w:bottom w:val="single" w:sz="4" w:space="0" w:color="auto"/>
            </w:tcBorders>
          </w:tcPr>
          <w:p w14:paraId="3B98868F" w14:textId="77777777" w:rsidR="00D2643B" w:rsidRPr="00B440D4" w:rsidRDefault="00D2643B" w:rsidP="00B440D4">
            <w:pPr>
              <w:spacing w:after="60" w:line="240" w:lineRule="auto"/>
              <w:jc w:val="center"/>
            </w:pPr>
            <w:r w:rsidRPr="00B440D4">
              <w:t>N (A)</w:t>
            </w:r>
          </w:p>
        </w:tc>
      </w:tr>
      <w:tr w:rsidR="00D2643B" w:rsidRPr="00B440D4" w14:paraId="7AB00A7E" w14:textId="77777777" w:rsidTr="00B440D4">
        <w:trPr>
          <w:trHeight w:val="322"/>
        </w:trPr>
        <w:tc>
          <w:tcPr>
            <w:tcW w:w="1548" w:type="dxa"/>
            <w:tcBorders>
              <w:top w:val="single" w:sz="4" w:space="0" w:color="auto"/>
              <w:bottom w:val="single" w:sz="4" w:space="0" w:color="auto"/>
              <w:right w:val="single" w:sz="4" w:space="0" w:color="auto"/>
            </w:tcBorders>
          </w:tcPr>
          <w:p w14:paraId="6B00AD43" w14:textId="77777777" w:rsidR="00D2643B" w:rsidRPr="00B440D4" w:rsidRDefault="00D2643B" w:rsidP="00B440D4">
            <w:pPr>
              <w:spacing w:after="60" w:line="240" w:lineRule="auto"/>
            </w:pPr>
            <w:r w:rsidRPr="00B440D4">
              <w:t>Spain</w:t>
            </w:r>
          </w:p>
        </w:tc>
        <w:tc>
          <w:tcPr>
            <w:tcW w:w="1350" w:type="dxa"/>
            <w:tcBorders>
              <w:top w:val="single" w:sz="4" w:space="0" w:color="auto"/>
              <w:left w:val="single" w:sz="4" w:space="0" w:color="auto"/>
              <w:bottom w:val="single" w:sz="4" w:space="0" w:color="auto"/>
              <w:right w:val="single" w:sz="4" w:space="0" w:color="auto"/>
            </w:tcBorders>
          </w:tcPr>
          <w:p w14:paraId="1403D469"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71F8775D"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640825F7"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27A56640"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0F505FD9"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1979BCF5" w14:textId="77777777" w:rsidR="00D2643B" w:rsidRPr="00B440D4" w:rsidRDefault="00D2643B" w:rsidP="00B440D4">
            <w:pPr>
              <w:spacing w:after="60" w:line="240" w:lineRule="auto"/>
              <w:jc w:val="center"/>
            </w:pPr>
            <w:r w:rsidRPr="00B440D4">
              <w:t>Y (2005)</w:t>
            </w:r>
          </w:p>
        </w:tc>
        <w:tc>
          <w:tcPr>
            <w:tcW w:w="2070" w:type="dxa"/>
            <w:tcBorders>
              <w:top w:val="single" w:sz="4" w:space="0" w:color="auto"/>
              <w:left w:val="single" w:sz="4" w:space="0" w:color="auto"/>
              <w:bottom w:val="single" w:sz="4" w:space="0" w:color="auto"/>
            </w:tcBorders>
          </w:tcPr>
          <w:p w14:paraId="6E52D486" w14:textId="77777777" w:rsidR="00D2643B" w:rsidRPr="00B440D4" w:rsidRDefault="00D2643B" w:rsidP="00B440D4">
            <w:pPr>
              <w:spacing w:after="60" w:line="240" w:lineRule="auto"/>
              <w:jc w:val="center"/>
            </w:pPr>
            <w:r w:rsidRPr="00B440D4">
              <w:t>N</w:t>
            </w:r>
          </w:p>
        </w:tc>
      </w:tr>
      <w:tr w:rsidR="00D2643B" w:rsidRPr="00B440D4" w14:paraId="41766848" w14:textId="77777777" w:rsidTr="00B440D4">
        <w:trPr>
          <w:trHeight w:val="345"/>
        </w:trPr>
        <w:tc>
          <w:tcPr>
            <w:tcW w:w="1548" w:type="dxa"/>
            <w:tcBorders>
              <w:top w:val="single" w:sz="4" w:space="0" w:color="auto"/>
              <w:bottom w:val="single" w:sz="4" w:space="0" w:color="auto"/>
              <w:right w:val="single" w:sz="4" w:space="0" w:color="auto"/>
            </w:tcBorders>
          </w:tcPr>
          <w:p w14:paraId="4E8F80AE" w14:textId="77777777" w:rsidR="00D2643B" w:rsidRPr="00B440D4" w:rsidRDefault="00D2643B" w:rsidP="00B440D4">
            <w:pPr>
              <w:spacing w:after="60" w:line="240" w:lineRule="auto"/>
            </w:pPr>
            <w:r w:rsidRPr="00B440D4">
              <w:t>Switzerland</w:t>
            </w:r>
          </w:p>
        </w:tc>
        <w:tc>
          <w:tcPr>
            <w:tcW w:w="1350" w:type="dxa"/>
            <w:tcBorders>
              <w:top w:val="single" w:sz="4" w:space="0" w:color="auto"/>
              <w:left w:val="single" w:sz="4" w:space="0" w:color="auto"/>
              <w:bottom w:val="single" w:sz="4" w:space="0" w:color="auto"/>
              <w:right w:val="single" w:sz="4" w:space="0" w:color="auto"/>
            </w:tcBorders>
          </w:tcPr>
          <w:p w14:paraId="72486541"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5E616AD8" w14:textId="77777777" w:rsidR="00D2643B" w:rsidRPr="00B440D4" w:rsidRDefault="00D2643B" w:rsidP="00B440D4">
            <w:pPr>
              <w:spacing w:after="60" w:line="240" w:lineRule="auto"/>
              <w:jc w:val="center"/>
              <w:rPr>
                <w:vertAlign w:val="superscript"/>
              </w:rPr>
            </w:pPr>
            <w:r w:rsidRPr="00B440D4">
              <w:t>N</w:t>
            </w:r>
            <w:r w:rsidRPr="00B440D4">
              <w:rPr>
                <w:vertAlign w:val="superscript"/>
              </w:rPr>
              <w:t>12</w:t>
            </w:r>
          </w:p>
        </w:tc>
        <w:tc>
          <w:tcPr>
            <w:tcW w:w="1980" w:type="dxa"/>
            <w:tcBorders>
              <w:top w:val="single" w:sz="4" w:space="0" w:color="auto"/>
              <w:left w:val="single" w:sz="4" w:space="0" w:color="auto"/>
              <w:bottom w:val="single" w:sz="4" w:space="0" w:color="auto"/>
              <w:right w:val="single" w:sz="4" w:space="0" w:color="auto"/>
            </w:tcBorders>
          </w:tcPr>
          <w:p w14:paraId="5A4CC09A"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4D85AF82"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1CAAE6B8"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6361E82C" w14:textId="77777777" w:rsidR="00D2643B" w:rsidRPr="00B440D4" w:rsidRDefault="00D2643B" w:rsidP="00B440D4">
            <w:pPr>
              <w:spacing w:after="60" w:line="240" w:lineRule="auto"/>
              <w:jc w:val="center"/>
            </w:pPr>
            <w:r w:rsidRPr="00B440D4">
              <w:t>N</w:t>
            </w:r>
          </w:p>
        </w:tc>
        <w:tc>
          <w:tcPr>
            <w:tcW w:w="2070" w:type="dxa"/>
            <w:tcBorders>
              <w:top w:val="single" w:sz="4" w:space="0" w:color="auto"/>
              <w:left w:val="single" w:sz="4" w:space="0" w:color="auto"/>
              <w:bottom w:val="single" w:sz="4" w:space="0" w:color="auto"/>
            </w:tcBorders>
          </w:tcPr>
          <w:p w14:paraId="3E14DD31" w14:textId="77777777" w:rsidR="00D2643B" w:rsidRPr="00B440D4" w:rsidRDefault="00D2643B" w:rsidP="00B440D4">
            <w:pPr>
              <w:spacing w:after="60" w:line="240" w:lineRule="auto"/>
              <w:jc w:val="center"/>
            </w:pPr>
            <w:r w:rsidRPr="00B440D4">
              <w:t>N</w:t>
            </w:r>
          </w:p>
        </w:tc>
      </w:tr>
      <w:tr w:rsidR="00D2643B" w:rsidRPr="00B440D4" w14:paraId="73C7367A" w14:textId="77777777" w:rsidTr="00B440D4">
        <w:trPr>
          <w:trHeight w:val="322"/>
        </w:trPr>
        <w:tc>
          <w:tcPr>
            <w:tcW w:w="1548" w:type="dxa"/>
            <w:tcBorders>
              <w:top w:val="single" w:sz="4" w:space="0" w:color="auto"/>
              <w:bottom w:val="single" w:sz="4" w:space="0" w:color="auto"/>
              <w:right w:val="single" w:sz="4" w:space="0" w:color="auto"/>
            </w:tcBorders>
          </w:tcPr>
          <w:p w14:paraId="768B76EF" w14:textId="77777777" w:rsidR="00D2643B" w:rsidRPr="00B440D4" w:rsidRDefault="00D2643B" w:rsidP="00B440D4">
            <w:pPr>
              <w:spacing w:after="60" w:line="240" w:lineRule="auto"/>
            </w:pPr>
            <w:r w:rsidRPr="00B440D4">
              <w:t>UK</w:t>
            </w:r>
          </w:p>
        </w:tc>
        <w:tc>
          <w:tcPr>
            <w:tcW w:w="1350" w:type="dxa"/>
            <w:tcBorders>
              <w:top w:val="single" w:sz="4" w:space="0" w:color="auto"/>
              <w:left w:val="single" w:sz="4" w:space="0" w:color="auto"/>
              <w:bottom w:val="single" w:sz="4" w:space="0" w:color="auto"/>
              <w:right w:val="single" w:sz="4" w:space="0" w:color="auto"/>
            </w:tcBorders>
          </w:tcPr>
          <w:p w14:paraId="5F5E946D"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4A70FF20"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6BF84D2F"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2FB5E6C2"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70625C7E"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08833A93" w14:textId="77777777" w:rsidR="00D2643B" w:rsidRPr="00B440D4" w:rsidRDefault="00D2643B" w:rsidP="00B440D4">
            <w:pPr>
              <w:spacing w:after="60" w:line="240" w:lineRule="auto"/>
              <w:jc w:val="center"/>
            </w:pPr>
            <w:r w:rsidRPr="00B440D4">
              <w:t>Y (2005)</w:t>
            </w:r>
          </w:p>
        </w:tc>
        <w:tc>
          <w:tcPr>
            <w:tcW w:w="2070" w:type="dxa"/>
            <w:tcBorders>
              <w:top w:val="single" w:sz="4" w:space="0" w:color="auto"/>
              <w:left w:val="single" w:sz="4" w:space="0" w:color="auto"/>
              <w:bottom w:val="single" w:sz="4" w:space="0" w:color="auto"/>
            </w:tcBorders>
          </w:tcPr>
          <w:p w14:paraId="2D6AC2FD" w14:textId="77777777" w:rsidR="00D2643B" w:rsidRPr="00B440D4" w:rsidRDefault="00D2643B" w:rsidP="00B440D4">
            <w:pPr>
              <w:spacing w:after="60" w:line="240" w:lineRule="auto"/>
              <w:jc w:val="center"/>
            </w:pPr>
            <w:r w:rsidRPr="00B440D4">
              <w:t>N (A)</w:t>
            </w:r>
          </w:p>
        </w:tc>
      </w:tr>
      <w:tr w:rsidR="00D2643B" w:rsidRPr="00B440D4" w14:paraId="6F18AE3B" w14:textId="77777777" w:rsidTr="00B440D4">
        <w:trPr>
          <w:trHeight w:val="322"/>
        </w:trPr>
        <w:tc>
          <w:tcPr>
            <w:tcW w:w="1548" w:type="dxa"/>
            <w:tcBorders>
              <w:top w:val="single" w:sz="4" w:space="0" w:color="auto"/>
              <w:bottom w:val="single" w:sz="4" w:space="0" w:color="auto"/>
              <w:right w:val="single" w:sz="4" w:space="0" w:color="auto"/>
            </w:tcBorders>
          </w:tcPr>
          <w:p w14:paraId="3C81ECF8" w14:textId="77777777" w:rsidR="00D2643B" w:rsidRPr="00B440D4" w:rsidRDefault="00D2643B" w:rsidP="00B440D4">
            <w:pPr>
              <w:spacing w:after="60" w:line="240" w:lineRule="auto"/>
            </w:pPr>
            <w:r w:rsidRPr="00B440D4">
              <w:t>US</w:t>
            </w:r>
          </w:p>
        </w:tc>
        <w:tc>
          <w:tcPr>
            <w:tcW w:w="1350" w:type="dxa"/>
            <w:tcBorders>
              <w:top w:val="single" w:sz="4" w:space="0" w:color="auto"/>
              <w:left w:val="single" w:sz="4" w:space="0" w:color="auto"/>
              <w:bottom w:val="single" w:sz="4" w:space="0" w:color="auto"/>
              <w:right w:val="single" w:sz="4" w:space="0" w:color="auto"/>
            </w:tcBorders>
          </w:tcPr>
          <w:p w14:paraId="5F6CA94E" w14:textId="77777777" w:rsidR="00D2643B" w:rsidRPr="00B440D4" w:rsidRDefault="00D2643B" w:rsidP="00B440D4">
            <w:pPr>
              <w:spacing w:after="60" w:line="240" w:lineRule="auto"/>
              <w:jc w:val="center"/>
            </w:pPr>
            <w:r w:rsidRPr="00B440D4">
              <w:t>N</w:t>
            </w:r>
          </w:p>
        </w:tc>
        <w:tc>
          <w:tcPr>
            <w:tcW w:w="1350" w:type="dxa"/>
            <w:tcBorders>
              <w:top w:val="single" w:sz="4" w:space="0" w:color="auto"/>
              <w:left w:val="single" w:sz="4" w:space="0" w:color="auto"/>
              <w:bottom w:val="single" w:sz="4" w:space="0" w:color="auto"/>
              <w:right w:val="single" w:sz="4" w:space="0" w:color="auto"/>
            </w:tcBorders>
          </w:tcPr>
          <w:p w14:paraId="66A7EC8D"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532AC78C" w14:textId="77777777" w:rsidR="00D2643B" w:rsidRPr="00B440D4" w:rsidRDefault="00D2643B" w:rsidP="00B440D4">
            <w:pPr>
              <w:spacing w:after="60" w:line="240" w:lineRule="auto"/>
              <w:jc w:val="center"/>
            </w:pPr>
            <w:r w:rsidRPr="00B440D4">
              <w:t>N</w:t>
            </w:r>
          </w:p>
        </w:tc>
        <w:tc>
          <w:tcPr>
            <w:tcW w:w="1980" w:type="dxa"/>
            <w:tcBorders>
              <w:top w:val="single" w:sz="4" w:space="0" w:color="auto"/>
              <w:left w:val="single" w:sz="4" w:space="0" w:color="auto"/>
              <w:bottom w:val="single" w:sz="4" w:space="0" w:color="auto"/>
              <w:right w:val="single" w:sz="4" w:space="0" w:color="auto"/>
            </w:tcBorders>
          </w:tcPr>
          <w:p w14:paraId="2B361609"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54F81862" w14:textId="77777777" w:rsidR="00D2643B" w:rsidRPr="00B440D4" w:rsidRDefault="00D2643B" w:rsidP="00B440D4">
            <w:pPr>
              <w:spacing w:after="60" w:line="240" w:lineRule="auto"/>
              <w:jc w:val="center"/>
            </w:pPr>
            <w:r w:rsidRPr="00B440D4">
              <w:t>N</w:t>
            </w:r>
          </w:p>
        </w:tc>
        <w:tc>
          <w:tcPr>
            <w:tcW w:w="1800" w:type="dxa"/>
            <w:tcBorders>
              <w:top w:val="single" w:sz="4" w:space="0" w:color="auto"/>
              <w:left w:val="single" w:sz="4" w:space="0" w:color="auto"/>
              <w:bottom w:val="single" w:sz="4" w:space="0" w:color="auto"/>
              <w:right w:val="single" w:sz="4" w:space="0" w:color="auto"/>
            </w:tcBorders>
          </w:tcPr>
          <w:p w14:paraId="4CCC3B85" w14:textId="77777777" w:rsidR="00D2643B" w:rsidRPr="00B440D4" w:rsidRDefault="00D2643B" w:rsidP="00B440D4">
            <w:pPr>
              <w:spacing w:after="60" w:line="240" w:lineRule="auto"/>
              <w:jc w:val="center"/>
            </w:pPr>
            <w:r w:rsidRPr="00B440D4">
              <w:t>N</w:t>
            </w:r>
          </w:p>
        </w:tc>
        <w:tc>
          <w:tcPr>
            <w:tcW w:w="2070" w:type="dxa"/>
            <w:tcBorders>
              <w:top w:val="single" w:sz="4" w:space="0" w:color="auto"/>
              <w:left w:val="single" w:sz="4" w:space="0" w:color="auto"/>
              <w:bottom w:val="single" w:sz="4" w:space="0" w:color="auto"/>
            </w:tcBorders>
          </w:tcPr>
          <w:p w14:paraId="521447F0" w14:textId="77777777" w:rsidR="00D2643B" w:rsidRPr="00B440D4" w:rsidRDefault="00D2643B" w:rsidP="00B440D4">
            <w:pPr>
              <w:spacing w:after="60" w:line="240" w:lineRule="auto"/>
              <w:jc w:val="center"/>
            </w:pPr>
            <w:r w:rsidRPr="00B440D4">
              <w:t>N</w:t>
            </w:r>
            <w:r w:rsidRPr="00B440D4">
              <w:rPr>
                <w:vertAlign w:val="superscript"/>
              </w:rPr>
              <w:t>13</w:t>
            </w:r>
          </w:p>
        </w:tc>
      </w:tr>
    </w:tbl>
    <w:p w14:paraId="20E10ACA" w14:textId="77777777" w:rsidR="00D2643B" w:rsidRDefault="00D2643B" w:rsidP="00A038F5">
      <w:pPr>
        <w:pStyle w:val="Footer"/>
      </w:pPr>
    </w:p>
    <w:p w14:paraId="7467BCE0" w14:textId="77777777" w:rsidR="00D2643B" w:rsidRPr="001C1307" w:rsidRDefault="00D2643B" w:rsidP="00A038F5">
      <w:pPr>
        <w:pStyle w:val="Footer"/>
        <w:rPr>
          <w:sz w:val="20"/>
          <w:szCs w:val="20"/>
        </w:rPr>
      </w:pPr>
      <w:r w:rsidRPr="001C1307">
        <w:rPr>
          <w:sz w:val="20"/>
          <w:szCs w:val="20"/>
        </w:rPr>
        <w:t xml:space="preserve">Sources: </w:t>
      </w:r>
      <w:hyperlink r:id="rId14" w:history="1">
        <w:r w:rsidRPr="001C1307">
          <w:rPr>
            <w:rStyle w:val="Hyperlink"/>
            <w:sz w:val="20"/>
            <w:szCs w:val="20"/>
          </w:rPr>
          <w:t>http://www.iasplus.com/country/useias.htm</w:t>
        </w:r>
      </w:hyperlink>
      <w:r w:rsidRPr="001C1307">
        <w:rPr>
          <w:sz w:val="20"/>
          <w:szCs w:val="20"/>
        </w:rPr>
        <w:t xml:space="preserve">; and </w:t>
      </w:r>
      <w:hyperlink r:id="rId15" w:history="1">
        <w:r w:rsidRPr="001C1307">
          <w:rPr>
            <w:rStyle w:val="Hyperlink"/>
            <w:sz w:val="20"/>
            <w:szCs w:val="20"/>
          </w:rPr>
          <w:t>http://www.pwc.com/us/en/issues/ifrs-reporting/country-adoption/index.jhtml</w:t>
        </w:r>
      </w:hyperlink>
      <w:r w:rsidRPr="001C1307">
        <w:rPr>
          <w:sz w:val="20"/>
          <w:szCs w:val="20"/>
        </w:rPr>
        <w:t xml:space="preserve"> (both accessed on 29.3.2012).</w:t>
      </w:r>
    </w:p>
    <w:p w14:paraId="4AC5C0E1" w14:textId="77777777" w:rsidR="00D2643B" w:rsidRPr="00221FC6" w:rsidRDefault="00D2643B" w:rsidP="00A038F5">
      <w:pPr>
        <w:pStyle w:val="FootnoteText"/>
        <w:rPr>
          <w:lang w:val="en-AU"/>
        </w:rPr>
      </w:pPr>
    </w:p>
    <w:p w14:paraId="1F8559F9" w14:textId="77777777" w:rsidR="00D2643B" w:rsidRDefault="00D2643B" w:rsidP="00BC4CED">
      <w:pPr>
        <w:spacing w:after="0" w:line="240" w:lineRule="auto"/>
        <w:ind w:left="540" w:hanging="540"/>
      </w:pPr>
      <w:r w:rsidRPr="00BC4CED">
        <w:t>Key:</w:t>
      </w:r>
      <w:r>
        <w:tab/>
        <w:t>Y = Yes.</w:t>
      </w:r>
    </w:p>
    <w:p w14:paraId="59D95DF4" w14:textId="77777777" w:rsidR="00D2643B" w:rsidRDefault="00D2643B" w:rsidP="00BC4CED">
      <w:pPr>
        <w:spacing w:after="0" w:line="240" w:lineRule="auto"/>
        <w:ind w:left="540" w:hanging="540"/>
      </w:pPr>
      <w:r>
        <w:tab/>
      </w:r>
      <w:r>
        <w:sym w:font="Wingdings 3" w:char="F021"/>
      </w:r>
      <w:r>
        <w:t>Y = Yes, as follows from a column to the left.</w:t>
      </w:r>
    </w:p>
    <w:p w14:paraId="02F631D6" w14:textId="77777777" w:rsidR="00D2643B" w:rsidRDefault="00D2643B" w:rsidP="00BC4CED">
      <w:pPr>
        <w:spacing w:after="0" w:line="240" w:lineRule="auto"/>
        <w:ind w:left="540" w:hanging="540"/>
      </w:pPr>
      <w:r>
        <w:tab/>
        <w:t>N = No.</w:t>
      </w:r>
    </w:p>
    <w:p w14:paraId="39E28A34" w14:textId="77777777" w:rsidR="00D2643B" w:rsidRDefault="00D2643B" w:rsidP="00BC4CED">
      <w:pPr>
        <w:spacing w:after="0" w:line="240" w:lineRule="auto"/>
        <w:ind w:left="540" w:hanging="540"/>
      </w:pPr>
      <w:r>
        <w:tab/>
        <w:t>A= Allowed.</w:t>
      </w:r>
    </w:p>
    <w:p w14:paraId="42DCADDB" w14:textId="77777777" w:rsidR="00D2643B" w:rsidRDefault="00D2643B" w:rsidP="00BC4CED">
      <w:pPr>
        <w:spacing w:after="0" w:line="240" w:lineRule="auto"/>
        <w:ind w:left="540" w:hanging="540"/>
      </w:pPr>
      <w:r>
        <w:tab/>
      </w:r>
      <w:r>
        <w:rPr>
          <w:vertAlign w:val="superscript"/>
        </w:rPr>
        <w:t>1</w:t>
      </w:r>
      <w:r>
        <w:t>= Many additions</w:t>
      </w:r>
      <w:r w:rsidR="000F5E32">
        <w:t xml:space="preserve"> to IASB-IFRS</w:t>
      </w:r>
      <w:r>
        <w:t>.</w:t>
      </w:r>
      <w:r w:rsidR="000F5E32">
        <w:t xml:space="preserve"> See text for explanation.</w:t>
      </w:r>
    </w:p>
    <w:p w14:paraId="2706878C" w14:textId="77777777" w:rsidR="00D2643B" w:rsidRDefault="00D2643B" w:rsidP="00BC4CED">
      <w:pPr>
        <w:spacing w:after="0" w:line="240" w:lineRule="auto"/>
        <w:ind w:left="540" w:hanging="540"/>
      </w:pPr>
      <w:r>
        <w:tab/>
      </w:r>
      <w:r>
        <w:rPr>
          <w:vertAlign w:val="superscript"/>
        </w:rPr>
        <w:t>2</w:t>
      </w:r>
      <w:r>
        <w:t xml:space="preserve"> = Some IFRS options have been deleted, and some disclosures added.</w:t>
      </w:r>
    </w:p>
    <w:p w14:paraId="408AC94C" w14:textId="77777777" w:rsidR="00D2643B" w:rsidRDefault="00D2643B" w:rsidP="00BC4CED">
      <w:pPr>
        <w:spacing w:after="0" w:line="240" w:lineRule="auto"/>
        <w:ind w:left="540" w:hanging="540"/>
      </w:pPr>
      <w:r>
        <w:tab/>
      </w:r>
      <w:r>
        <w:rPr>
          <w:vertAlign w:val="superscript"/>
        </w:rPr>
        <w:t>3</w:t>
      </w:r>
      <w:r>
        <w:t xml:space="preserve"> = </w:t>
      </w:r>
      <w:r w:rsidR="000F5E32">
        <w:t xml:space="preserve">Rate-regulated companies are exempted. </w:t>
      </w:r>
      <w:r>
        <w:t xml:space="preserve">Companies which are also listed in the US are allowed to use US GAAP. </w:t>
      </w:r>
    </w:p>
    <w:p w14:paraId="27592E5F" w14:textId="77777777" w:rsidR="00D2643B" w:rsidRDefault="00D2643B" w:rsidP="00BC4CED">
      <w:pPr>
        <w:spacing w:after="0" w:line="240" w:lineRule="auto"/>
        <w:ind w:left="540" w:hanging="540"/>
      </w:pPr>
      <w:r>
        <w:tab/>
      </w:r>
      <w:r>
        <w:rPr>
          <w:vertAlign w:val="superscript"/>
        </w:rPr>
        <w:t>4</w:t>
      </w:r>
      <w:r>
        <w:t>= Private entities are allowed to use the Accounting Standard for Private Enterprises.</w:t>
      </w:r>
    </w:p>
    <w:p w14:paraId="2354AA1C" w14:textId="77777777" w:rsidR="00D2643B" w:rsidRDefault="00D2643B" w:rsidP="00BC4CED">
      <w:pPr>
        <w:spacing w:after="0" w:line="240" w:lineRule="auto"/>
        <w:ind w:left="540" w:hanging="540"/>
      </w:pPr>
      <w:r>
        <w:tab/>
      </w:r>
      <w:r>
        <w:rPr>
          <w:vertAlign w:val="superscript"/>
        </w:rPr>
        <w:t>5</w:t>
      </w:r>
      <w:r>
        <w:t>= US GAAP was allowed for certain companies until 2007.</w:t>
      </w:r>
    </w:p>
    <w:p w14:paraId="020EC579" w14:textId="77777777" w:rsidR="00D2643B" w:rsidRDefault="00D2643B" w:rsidP="00BC4CED">
      <w:pPr>
        <w:spacing w:after="0" w:line="240" w:lineRule="auto"/>
        <w:ind w:left="540" w:hanging="540"/>
      </w:pPr>
      <w:r>
        <w:tab/>
      </w:r>
      <w:r>
        <w:rPr>
          <w:vertAlign w:val="superscript"/>
        </w:rPr>
        <w:t>6</w:t>
      </w:r>
      <w:r>
        <w:t xml:space="preserve"> = No, unless statements prepared according to the Commercial Code are also prepared.</w:t>
      </w:r>
    </w:p>
    <w:p w14:paraId="0BBA6982" w14:textId="77777777" w:rsidR="00D2643B" w:rsidRDefault="00D2643B" w:rsidP="00BC4CED">
      <w:pPr>
        <w:spacing w:after="0" w:line="240" w:lineRule="auto"/>
        <w:ind w:left="540" w:hanging="540"/>
      </w:pPr>
      <w:r>
        <w:tab/>
      </w:r>
      <w:r>
        <w:rPr>
          <w:vertAlign w:val="superscript"/>
        </w:rPr>
        <w:t>7</w:t>
      </w:r>
      <w:r>
        <w:t xml:space="preserve"> = Hong Kong Financial Reporting Standards have been converged with IFRS but differences remain, primarily in transitional provisions.</w:t>
      </w:r>
    </w:p>
    <w:p w14:paraId="096E5CB3" w14:textId="77777777" w:rsidR="00D2643B" w:rsidRDefault="00D2643B" w:rsidP="00BC4CED">
      <w:pPr>
        <w:spacing w:after="0" w:line="240" w:lineRule="auto"/>
        <w:ind w:left="540" w:hanging="540"/>
      </w:pPr>
      <w:r>
        <w:tab/>
      </w:r>
      <w:r>
        <w:rPr>
          <w:vertAlign w:val="superscript"/>
        </w:rPr>
        <w:t>8</w:t>
      </w:r>
      <w:r>
        <w:t xml:space="preserve"> = The Deloitte and PwC websites concur that the status of IFRS in India is sufficiently unclear that ‘N’ is the answer.</w:t>
      </w:r>
    </w:p>
    <w:p w14:paraId="69E6F989" w14:textId="77777777" w:rsidR="00D2643B" w:rsidRDefault="00D2643B" w:rsidP="00BC4CED">
      <w:pPr>
        <w:spacing w:after="0" w:line="240" w:lineRule="auto"/>
        <w:ind w:left="540" w:hanging="540"/>
      </w:pPr>
      <w:r>
        <w:tab/>
      </w:r>
      <w:r>
        <w:rPr>
          <w:vertAlign w:val="superscript"/>
        </w:rPr>
        <w:t xml:space="preserve">9 </w:t>
      </w:r>
      <w:r>
        <w:t xml:space="preserve">= Japan </w:t>
      </w:r>
      <w:r w:rsidRPr="000F5E32">
        <w:rPr>
          <w:i/>
        </w:rPr>
        <w:t>allows</w:t>
      </w:r>
      <w:r>
        <w:t xml:space="preserve"> IASB-IFRS for the consolidated statements of listed companies.</w:t>
      </w:r>
    </w:p>
    <w:p w14:paraId="5CFFE865" w14:textId="77777777" w:rsidR="00D2643B" w:rsidRDefault="00D2643B" w:rsidP="00BC4CED">
      <w:pPr>
        <w:spacing w:after="0" w:line="240" w:lineRule="auto"/>
        <w:ind w:left="540" w:hanging="540"/>
      </w:pPr>
      <w:r>
        <w:tab/>
      </w:r>
      <w:r>
        <w:rPr>
          <w:vertAlign w:val="superscript"/>
        </w:rPr>
        <w:t>10</w:t>
      </w:r>
      <w:r>
        <w:t xml:space="preserve"> =The Deloitte and PwC websites concur that IFRS (with an IASB-approved translation into Russian) is required for listed companies.</w:t>
      </w:r>
    </w:p>
    <w:p w14:paraId="608345A7" w14:textId="77777777" w:rsidR="00D2643B" w:rsidRDefault="00D2643B" w:rsidP="005724E9">
      <w:pPr>
        <w:spacing w:after="0" w:line="240" w:lineRule="auto"/>
        <w:ind w:left="540" w:hanging="540"/>
      </w:pPr>
      <w:r>
        <w:tab/>
      </w:r>
      <w:r>
        <w:rPr>
          <w:vertAlign w:val="superscript"/>
        </w:rPr>
        <w:t>11</w:t>
      </w:r>
      <w:r>
        <w:t xml:space="preserve"> = IASB-IFRS in Korean translation, and without early adoptions permitted.</w:t>
      </w:r>
      <w:r>
        <w:tab/>
      </w:r>
    </w:p>
    <w:p w14:paraId="27140524" w14:textId="77777777" w:rsidR="00D2643B" w:rsidRDefault="00D2643B" w:rsidP="005724E9">
      <w:pPr>
        <w:spacing w:after="0" w:line="240" w:lineRule="auto"/>
        <w:ind w:left="540" w:hanging="540"/>
      </w:pPr>
      <w:r>
        <w:tab/>
      </w:r>
      <w:r>
        <w:rPr>
          <w:vertAlign w:val="superscript"/>
        </w:rPr>
        <w:t>12</w:t>
      </w:r>
      <w:r>
        <w:t>= IFRS or US GAAP are allowed.</w:t>
      </w:r>
    </w:p>
    <w:p w14:paraId="4615F804" w14:textId="77777777" w:rsidR="00D2643B" w:rsidRPr="00BC4CED" w:rsidRDefault="00D2643B" w:rsidP="00BC4CED">
      <w:pPr>
        <w:spacing w:after="0" w:line="240" w:lineRule="auto"/>
        <w:ind w:left="540" w:hanging="540"/>
        <w:sectPr w:rsidR="00D2643B" w:rsidRPr="00BC4CED" w:rsidSect="005B4D56">
          <w:pgSz w:w="16838" w:h="11906" w:orient="landscape"/>
          <w:pgMar w:top="547" w:right="922" w:bottom="1152" w:left="1800" w:header="706" w:footer="706" w:gutter="0"/>
          <w:cols w:space="708"/>
          <w:titlePg/>
          <w:docGrid w:linePitch="360"/>
        </w:sectPr>
      </w:pPr>
      <w:r>
        <w:tab/>
      </w:r>
      <w:r>
        <w:rPr>
          <w:vertAlign w:val="superscript"/>
        </w:rPr>
        <w:t xml:space="preserve">13 </w:t>
      </w:r>
      <w:r>
        <w:t xml:space="preserve">= Unconsolidated reporting is not generally required in the US. To the extent that it is required, US GAAP is mandated. </w:t>
      </w:r>
    </w:p>
    <w:p w14:paraId="53D8854C" w14:textId="77777777" w:rsidR="00D2643B" w:rsidRPr="008D35F2" w:rsidRDefault="00D2643B" w:rsidP="00363515">
      <w:pPr>
        <w:spacing w:after="60" w:line="240" w:lineRule="auto"/>
      </w:pPr>
    </w:p>
    <w:tbl>
      <w:tblPr>
        <w:tblW w:w="9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8"/>
        <w:gridCol w:w="8190"/>
      </w:tblGrid>
      <w:tr w:rsidR="00D2643B" w:rsidRPr="00B440D4" w14:paraId="77A43281" w14:textId="77777777" w:rsidTr="00B440D4">
        <w:tc>
          <w:tcPr>
            <w:tcW w:w="9108" w:type="dxa"/>
            <w:gridSpan w:val="2"/>
            <w:tcBorders>
              <w:top w:val="single" w:sz="4" w:space="0" w:color="auto"/>
            </w:tcBorders>
          </w:tcPr>
          <w:p w14:paraId="347E9844" w14:textId="77777777" w:rsidR="00D2643B" w:rsidRPr="00B440D4" w:rsidRDefault="00D2643B" w:rsidP="00B440D4">
            <w:pPr>
              <w:spacing w:before="240" w:after="240" w:line="240" w:lineRule="auto"/>
              <w:rPr>
                <w:b/>
              </w:rPr>
            </w:pPr>
            <w:r w:rsidRPr="00B440D4">
              <w:rPr>
                <w:b/>
              </w:rPr>
              <w:t>Table 2.  Examples of overt options in IFRS in 2013*</w:t>
            </w:r>
          </w:p>
        </w:tc>
      </w:tr>
      <w:tr w:rsidR="00D2643B" w:rsidRPr="00B440D4" w14:paraId="1B251500" w14:textId="77777777" w:rsidTr="00B440D4">
        <w:tc>
          <w:tcPr>
            <w:tcW w:w="918" w:type="dxa"/>
          </w:tcPr>
          <w:p w14:paraId="71327BD7" w14:textId="77777777" w:rsidR="00D2643B" w:rsidRPr="00B440D4" w:rsidRDefault="00D2643B" w:rsidP="00B440D4">
            <w:pPr>
              <w:spacing w:after="60" w:line="240" w:lineRule="auto"/>
            </w:pPr>
            <w:r w:rsidRPr="00B440D4">
              <w:t>IAS 1</w:t>
            </w:r>
          </w:p>
        </w:tc>
        <w:tc>
          <w:tcPr>
            <w:tcW w:w="8190" w:type="dxa"/>
          </w:tcPr>
          <w:p w14:paraId="38C5E669" w14:textId="77777777" w:rsidR="00D2643B" w:rsidRPr="00B440D4" w:rsidRDefault="00D2643B" w:rsidP="00B440D4">
            <w:pPr>
              <w:spacing w:after="60" w:line="240" w:lineRule="auto"/>
            </w:pPr>
            <w:r w:rsidRPr="00B440D4">
              <w:t>No format requirements for balance sheets or income statements (paras. 54, 82).</w:t>
            </w:r>
          </w:p>
        </w:tc>
      </w:tr>
      <w:tr w:rsidR="00D2643B" w:rsidRPr="00B440D4" w14:paraId="4719270B" w14:textId="77777777" w:rsidTr="00B440D4">
        <w:tc>
          <w:tcPr>
            <w:tcW w:w="918" w:type="dxa"/>
          </w:tcPr>
          <w:p w14:paraId="78A36615" w14:textId="77777777" w:rsidR="00D2643B" w:rsidRPr="00B440D4" w:rsidRDefault="00D2643B" w:rsidP="00B440D4">
            <w:pPr>
              <w:spacing w:after="60" w:line="240" w:lineRule="auto"/>
            </w:pPr>
            <w:r w:rsidRPr="00B440D4">
              <w:t>IAS 1</w:t>
            </w:r>
          </w:p>
        </w:tc>
        <w:tc>
          <w:tcPr>
            <w:tcW w:w="8190" w:type="dxa"/>
          </w:tcPr>
          <w:p w14:paraId="2F901F9A" w14:textId="77777777" w:rsidR="00D2643B" w:rsidRPr="00B440D4" w:rsidRDefault="00D2643B" w:rsidP="00B440D4">
            <w:pPr>
              <w:spacing w:after="60" w:line="240" w:lineRule="auto"/>
            </w:pPr>
            <w:r w:rsidRPr="00B440D4">
              <w:t>Choice of by-nature or by-function income statement (para. 99).</w:t>
            </w:r>
          </w:p>
        </w:tc>
      </w:tr>
      <w:tr w:rsidR="00D2643B" w:rsidRPr="00B440D4" w14:paraId="5CB27D2A" w14:textId="77777777" w:rsidTr="00B440D4">
        <w:tc>
          <w:tcPr>
            <w:tcW w:w="918" w:type="dxa"/>
          </w:tcPr>
          <w:p w14:paraId="2AFBB181" w14:textId="77777777" w:rsidR="00D2643B" w:rsidRPr="00B440D4" w:rsidRDefault="00D2643B" w:rsidP="00B440D4">
            <w:pPr>
              <w:spacing w:after="60" w:line="240" w:lineRule="auto"/>
            </w:pPr>
            <w:r w:rsidRPr="00B440D4">
              <w:t>IAS 1</w:t>
            </w:r>
          </w:p>
        </w:tc>
        <w:tc>
          <w:tcPr>
            <w:tcW w:w="8190" w:type="dxa"/>
          </w:tcPr>
          <w:p w14:paraId="14D579E8" w14:textId="77777777" w:rsidR="00D2643B" w:rsidRPr="00B440D4" w:rsidRDefault="00D2643B" w:rsidP="00B440D4">
            <w:pPr>
              <w:spacing w:after="60" w:line="240" w:lineRule="auto"/>
            </w:pPr>
            <w:r w:rsidRPr="00B440D4">
              <w:t>Permission to show comprehensive income in two statements (para. 81).</w:t>
            </w:r>
          </w:p>
        </w:tc>
      </w:tr>
      <w:tr w:rsidR="00D2643B" w:rsidRPr="00B440D4" w14:paraId="18CF87CC" w14:textId="77777777" w:rsidTr="00B440D4">
        <w:tc>
          <w:tcPr>
            <w:tcW w:w="918" w:type="dxa"/>
          </w:tcPr>
          <w:p w14:paraId="4678A3D3" w14:textId="77777777" w:rsidR="00D2643B" w:rsidRPr="00B440D4" w:rsidRDefault="00D2643B" w:rsidP="00B440D4">
            <w:pPr>
              <w:spacing w:after="60" w:line="240" w:lineRule="auto"/>
            </w:pPr>
            <w:r w:rsidRPr="00B440D4">
              <w:t>IAS 2</w:t>
            </w:r>
          </w:p>
        </w:tc>
        <w:tc>
          <w:tcPr>
            <w:tcW w:w="8190" w:type="dxa"/>
          </w:tcPr>
          <w:p w14:paraId="1D31C140" w14:textId="77777777" w:rsidR="00D2643B" w:rsidRPr="00B440D4" w:rsidRDefault="00D2643B" w:rsidP="00B440D4">
            <w:pPr>
              <w:spacing w:after="60" w:line="240" w:lineRule="auto"/>
            </w:pPr>
            <w:r w:rsidRPr="00B440D4">
              <w:t>Permission to measure certain ty</w:t>
            </w:r>
            <w:r w:rsidR="000F5E32">
              <w:t>pes of inventories at net realis</w:t>
            </w:r>
            <w:r w:rsidRPr="00B440D4">
              <w:t>able value, with gains and losses to profit and loss (para. 3).</w:t>
            </w:r>
          </w:p>
        </w:tc>
      </w:tr>
      <w:tr w:rsidR="00D2643B" w:rsidRPr="00B440D4" w14:paraId="1527A918" w14:textId="77777777" w:rsidTr="00B440D4">
        <w:tc>
          <w:tcPr>
            <w:tcW w:w="918" w:type="dxa"/>
          </w:tcPr>
          <w:p w14:paraId="6C9964E3" w14:textId="77777777" w:rsidR="00D2643B" w:rsidRPr="00B440D4" w:rsidRDefault="00D2643B" w:rsidP="00B440D4">
            <w:pPr>
              <w:spacing w:after="60" w:line="240" w:lineRule="auto"/>
            </w:pPr>
            <w:r w:rsidRPr="00B440D4">
              <w:t>IAS 2</w:t>
            </w:r>
          </w:p>
        </w:tc>
        <w:tc>
          <w:tcPr>
            <w:tcW w:w="8190" w:type="dxa"/>
          </w:tcPr>
          <w:p w14:paraId="53C0591E" w14:textId="77777777" w:rsidR="00D2643B" w:rsidRPr="00B440D4" w:rsidRDefault="00D2643B" w:rsidP="00B440D4">
            <w:pPr>
              <w:spacing w:after="60" w:line="240" w:lineRule="auto"/>
            </w:pPr>
            <w:r w:rsidRPr="00B440D4">
              <w:t>FIFO or weighted average for the determination of the cost of inventories (para. 25).</w:t>
            </w:r>
          </w:p>
        </w:tc>
      </w:tr>
      <w:tr w:rsidR="00D2643B" w:rsidRPr="00B440D4" w14:paraId="01FADBB9" w14:textId="77777777" w:rsidTr="00B440D4">
        <w:tc>
          <w:tcPr>
            <w:tcW w:w="918" w:type="dxa"/>
          </w:tcPr>
          <w:p w14:paraId="2D8EC55A" w14:textId="77777777" w:rsidR="00D2643B" w:rsidRPr="00B440D4" w:rsidRDefault="00D2643B" w:rsidP="00B440D4">
            <w:pPr>
              <w:spacing w:after="60" w:line="240" w:lineRule="auto"/>
            </w:pPr>
            <w:r w:rsidRPr="00B440D4">
              <w:t>IAS 7</w:t>
            </w:r>
          </w:p>
        </w:tc>
        <w:tc>
          <w:tcPr>
            <w:tcW w:w="8190" w:type="dxa"/>
          </w:tcPr>
          <w:p w14:paraId="5935DA0C" w14:textId="77777777" w:rsidR="00D2643B" w:rsidRPr="00B440D4" w:rsidRDefault="00D2643B" w:rsidP="00B440D4">
            <w:pPr>
              <w:spacing w:after="60" w:line="240" w:lineRule="auto"/>
            </w:pPr>
            <w:r w:rsidRPr="00B440D4">
              <w:t>Choice of direct or indirect calculation of operating cash flows (para. 18).</w:t>
            </w:r>
          </w:p>
        </w:tc>
      </w:tr>
      <w:tr w:rsidR="00D2643B" w:rsidRPr="00B440D4" w14:paraId="0A071D22" w14:textId="77777777" w:rsidTr="00B440D4">
        <w:tc>
          <w:tcPr>
            <w:tcW w:w="918" w:type="dxa"/>
          </w:tcPr>
          <w:p w14:paraId="0FCC0820" w14:textId="77777777" w:rsidR="00D2643B" w:rsidRPr="00B440D4" w:rsidRDefault="00D2643B" w:rsidP="00B440D4">
            <w:pPr>
              <w:spacing w:after="60" w:line="240" w:lineRule="auto"/>
            </w:pPr>
            <w:r w:rsidRPr="00B440D4">
              <w:t>IAS 7</w:t>
            </w:r>
          </w:p>
        </w:tc>
        <w:tc>
          <w:tcPr>
            <w:tcW w:w="8190" w:type="dxa"/>
          </w:tcPr>
          <w:p w14:paraId="216064C8" w14:textId="77777777" w:rsidR="00D2643B" w:rsidRPr="00B440D4" w:rsidRDefault="00D2643B" w:rsidP="00B440D4">
            <w:pPr>
              <w:spacing w:after="60" w:line="240" w:lineRule="auto"/>
            </w:pPr>
            <w:r w:rsidRPr="00B440D4">
              <w:t>Net basis allowed for some cash flows (para. 21).</w:t>
            </w:r>
          </w:p>
        </w:tc>
      </w:tr>
      <w:tr w:rsidR="00D2643B" w:rsidRPr="00B440D4" w14:paraId="30CE0ABC" w14:textId="77777777" w:rsidTr="00B440D4">
        <w:tc>
          <w:tcPr>
            <w:tcW w:w="918" w:type="dxa"/>
          </w:tcPr>
          <w:p w14:paraId="4DF557F9" w14:textId="77777777" w:rsidR="00D2643B" w:rsidRPr="00B440D4" w:rsidRDefault="00D2643B" w:rsidP="00B440D4">
            <w:pPr>
              <w:spacing w:after="60" w:line="240" w:lineRule="auto"/>
            </w:pPr>
            <w:r w:rsidRPr="00B440D4">
              <w:t>IAS 7</w:t>
            </w:r>
          </w:p>
        </w:tc>
        <w:tc>
          <w:tcPr>
            <w:tcW w:w="8190" w:type="dxa"/>
          </w:tcPr>
          <w:p w14:paraId="583CD541" w14:textId="77777777" w:rsidR="00D2643B" w:rsidRPr="00B440D4" w:rsidRDefault="00D2643B" w:rsidP="00B440D4">
            <w:pPr>
              <w:spacing w:after="60" w:line="240" w:lineRule="auto"/>
            </w:pPr>
            <w:r w:rsidRPr="00B440D4">
              <w:t>Choice of classification for interest and dividend flows (para. 31).</w:t>
            </w:r>
          </w:p>
        </w:tc>
      </w:tr>
      <w:tr w:rsidR="00D2643B" w:rsidRPr="00B440D4" w14:paraId="10A6276B" w14:textId="77777777" w:rsidTr="00B440D4">
        <w:tc>
          <w:tcPr>
            <w:tcW w:w="918" w:type="dxa"/>
          </w:tcPr>
          <w:p w14:paraId="6B7EAC41" w14:textId="77777777" w:rsidR="00D2643B" w:rsidRPr="00B440D4" w:rsidRDefault="00D2643B" w:rsidP="00B440D4">
            <w:pPr>
              <w:spacing w:after="60" w:line="240" w:lineRule="auto"/>
            </w:pPr>
            <w:r w:rsidRPr="00B440D4">
              <w:t>IAS 8</w:t>
            </w:r>
          </w:p>
        </w:tc>
        <w:tc>
          <w:tcPr>
            <w:tcW w:w="8190" w:type="dxa"/>
          </w:tcPr>
          <w:p w14:paraId="75A33145" w14:textId="77777777" w:rsidR="00D2643B" w:rsidRPr="00B440D4" w:rsidRDefault="00D2643B" w:rsidP="00B440D4">
            <w:pPr>
              <w:spacing w:after="60" w:line="240" w:lineRule="auto"/>
            </w:pPr>
            <w:r w:rsidRPr="00B440D4">
              <w:t>When developing an accounting policy, an entity ‘may also consider’ the rules of certain other standard-setters (para. 12).</w:t>
            </w:r>
          </w:p>
        </w:tc>
      </w:tr>
      <w:tr w:rsidR="00D2643B" w:rsidRPr="00B440D4" w14:paraId="172B6C61" w14:textId="77777777" w:rsidTr="00B440D4">
        <w:tc>
          <w:tcPr>
            <w:tcW w:w="918" w:type="dxa"/>
          </w:tcPr>
          <w:p w14:paraId="5142F761" w14:textId="77777777" w:rsidR="00D2643B" w:rsidRPr="00B440D4" w:rsidRDefault="00D2643B" w:rsidP="00B440D4">
            <w:pPr>
              <w:spacing w:after="60" w:line="240" w:lineRule="auto"/>
            </w:pPr>
            <w:r w:rsidRPr="00B440D4">
              <w:t>IAS 16</w:t>
            </w:r>
          </w:p>
          <w:p w14:paraId="11193755" w14:textId="77777777" w:rsidR="00D2643B" w:rsidRPr="00B440D4" w:rsidRDefault="00D2643B" w:rsidP="00B440D4">
            <w:pPr>
              <w:spacing w:after="0" w:line="240" w:lineRule="auto"/>
            </w:pPr>
          </w:p>
          <w:p w14:paraId="0F6C6B5C" w14:textId="77777777" w:rsidR="00D2643B" w:rsidRPr="00B440D4" w:rsidRDefault="00D2643B" w:rsidP="00B440D4">
            <w:pPr>
              <w:spacing w:after="0" w:line="240" w:lineRule="auto"/>
            </w:pPr>
            <w:r w:rsidRPr="00B440D4">
              <w:t>IAS 19</w:t>
            </w:r>
          </w:p>
        </w:tc>
        <w:tc>
          <w:tcPr>
            <w:tcW w:w="8190" w:type="dxa"/>
          </w:tcPr>
          <w:p w14:paraId="4D5F53BB" w14:textId="77777777" w:rsidR="00D2643B" w:rsidRPr="00B440D4" w:rsidRDefault="00D2643B" w:rsidP="00B440D4">
            <w:pPr>
              <w:spacing w:after="60" w:line="240" w:lineRule="auto"/>
            </w:pPr>
            <w:r w:rsidRPr="00B440D4">
              <w:t xml:space="preserve">Cost </w:t>
            </w:r>
            <w:r w:rsidR="000F5E32">
              <w:t xml:space="preserve">or fair value measurement </w:t>
            </w:r>
            <w:r w:rsidRPr="00B440D4">
              <w:t>for classes of property, plant and equipment (para. 29).</w:t>
            </w:r>
          </w:p>
          <w:p w14:paraId="5D1C0652" w14:textId="77777777" w:rsidR="00D2643B" w:rsidRPr="00B440D4" w:rsidRDefault="00D2643B" w:rsidP="00B440D4">
            <w:pPr>
              <w:spacing w:after="60" w:line="240" w:lineRule="auto"/>
            </w:pPr>
            <w:r w:rsidRPr="00B440D4">
              <w:t>Inclusion of defined benefit interest cost as finance expense or as operating expense (BC para.202)</w:t>
            </w:r>
          </w:p>
        </w:tc>
      </w:tr>
      <w:tr w:rsidR="00D2643B" w:rsidRPr="00B440D4" w14:paraId="0EEA7449" w14:textId="77777777" w:rsidTr="00B440D4">
        <w:tc>
          <w:tcPr>
            <w:tcW w:w="918" w:type="dxa"/>
          </w:tcPr>
          <w:p w14:paraId="77E990FD" w14:textId="77777777" w:rsidR="00D2643B" w:rsidRPr="00B440D4" w:rsidRDefault="00D2643B" w:rsidP="00B440D4">
            <w:pPr>
              <w:spacing w:after="60" w:line="240" w:lineRule="auto"/>
            </w:pPr>
            <w:r w:rsidRPr="00B440D4">
              <w:t>IAS 20</w:t>
            </w:r>
          </w:p>
        </w:tc>
        <w:tc>
          <w:tcPr>
            <w:tcW w:w="8190" w:type="dxa"/>
          </w:tcPr>
          <w:p w14:paraId="566C2C40" w14:textId="77777777" w:rsidR="00D2643B" w:rsidRPr="00B440D4" w:rsidRDefault="00D2643B" w:rsidP="00B440D4">
            <w:pPr>
              <w:spacing w:after="60" w:line="240" w:lineRule="auto"/>
            </w:pPr>
            <w:r w:rsidRPr="00B440D4">
              <w:t>Asset grants can be presented as a deduction from the asset or as deferred income (para. 24).</w:t>
            </w:r>
          </w:p>
        </w:tc>
      </w:tr>
      <w:tr w:rsidR="00D2643B" w:rsidRPr="00B440D4" w14:paraId="008E6885" w14:textId="77777777" w:rsidTr="00B440D4">
        <w:tc>
          <w:tcPr>
            <w:tcW w:w="918" w:type="dxa"/>
          </w:tcPr>
          <w:p w14:paraId="537BD09C" w14:textId="77777777" w:rsidR="00D2643B" w:rsidRPr="00B440D4" w:rsidRDefault="00D2643B" w:rsidP="00B440D4">
            <w:pPr>
              <w:spacing w:after="60" w:line="240" w:lineRule="auto"/>
            </w:pPr>
            <w:r>
              <w:t>IAS 21</w:t>
            </w:r>
          </w:p>
        </w:tc>
        <w:tc>
          <w:tcPr>
            <w:tcW w:w="8190" w:type="dxa"/>
          </w:tcPr>
          <w:p w14:paraId="4FFEE46F" w14:textId="77777777" w:rsidR="00D2643B" w:rsidRPr="00B440D4" w:rsidRDefault="00D2643B" w:rsidP="00B440D4">
            <w:pPr>
              <w:spacing w:after="60" w:line="240" w:lineRule="auto"/>
            </w:pPr>
            <w:r>
              <w:t>Choice of presentation currency (para. 38).</w:t>
            </w:r>
          </w:p>
        </w:tc>
      </w:tr>
      <w:tr w:rsidR="00D2643B" w:rsidRPr="00B440D4" w14:paraId="421579DC" w14:textId="77777777" w:rsidTr="00B440D4">
        <w:tc>
          <w:tcPr>
            <w:tcW w:w="918" w:type="dxa"/>
          </w:tcPr>
          <w:p w14:paraId="724C62E5" w14:textId="77777777" w:rsidR="00D2643B" w:rsidRPr="00B440D4" w:rsidRDefault="00D2643B" w:rsidP="00B440D4">
            <w:pPr>
              <w:spacing w:after="60" w:line="240" w:lineRule="auto"/>
            </w:pPr>
            <w:r w:rsidRPr="00B440D4">
              <w:t>IAS 27</w:t>
            </w:r>
          </w:p>
        </w:tc>
        <w:tc>
          <w:tcPr>
            <w:tcW w:w="8190" w:type="dxa"/>
          </w:tcPr>
          <w:p w14:paraId="777AEE50" w14:textId="77777777" w:rsidR="00D2643B" w:rsidRPr="00B440D4" w:rsidRDefault="00D2643B" w:rsidP="00B440D4">
            <w:pPr>
              <w:spacing w:after="60" w:line="240" w:lineRule="auto"/>
            </w:pPr>
            <w:r w:rsidRPr="00B440D4">
              <w:t>In ‘separate’ statements, investments in subsidiaries, joint ventures and associates may be shown at cost or as available-for-sale financial assets (para. 10).</w:t>
            </w:r>
          </w:p>
        </w:tc>
      </w:tr>
      <w:tr w:rsidR="00D2643B" w:rsidRPr="00B440D4" w14:paraId="243397AA" w14:textId="77777777" w:rsidTr="00B440D4">
        <w:tc>
          <w:tcPr>
            <w:tcW w:w="918" w:type="dxa"/>
          </w:tcPr>
          <w:p w14:paraId="4CF0BE12" w14:textId="77777777" w:rsidR="00D2643B" w:rsidRPr="00B440D4" w:rsidRDefault="00D2643B" w:rsidP="00B440D4">
            <w:pPr>
              <w:spacing w:after="60" w:line="240" w:lineRule="auto"/>
            </w:pPr>
            <w:r w:rsidRPr="00B440D4">
              <w:t>IAS 28</w:t>
            </w:r>
          </w:p>
        </w:tc>
        <w:tc>
          <w:tcPr>
            <w:tcW w:w="8190" w:type="dxa"/>
          </w:tcPr>
          <w:p w14:paraId="4AB88783" w14:textId="77777777" w:rsidR="00D2643B" w:rsidRPr="00B440D4" w:rsidRDefault="00D2643B" w:rsidP="00B440D4">
            <w:pPr>
              <w:spacing w:after="60" w:line="240" w:lineRule="auto"/>
            </w:pPr>
            <w:r w:rsidRPr="00B440D4">
              <w:t>In consolidated statements, certain investments in joint ventures and associates may be measured at fair value through profit and loss (para. 18).</w:t>
            </w:r>
          </w:p>
        </w:tc>
      </w:tr>
      <w:tr w:rsidR="00D2643B" w:rsidRPr="00B440D4" w14:paraId="376EDA63" w14:textId="77777777" w:rsidTr="00B440D4">
        <w:tc>
          <w:tcPr>
            <w:tcW w:w="918" w:type="dxa"/>
          </w:tcPr>
          <w:p w14:paraId="6A4E1DE3" w14:textId="77777777" w:rsidR="00D2643B" w:rsidRPr="00B440D4" w:rsidRDefault="00D2643B" w:rsidP="00B440D4">
            <w:pPr>
              <w:spacing w:after="60" w:line="240" w:lineRule="auto"/>
            </w:pPr>
            <w:r w:rsidRPr="00B440D4">
              <w:t>IAS 38</w:t>
            </w:r>
          </w:p>
        </w:tc>
        <w:tc>
          <w:tcPr>
            <w:tcW w:w="8190" w:type="dxa"/>
          </w:tcPr>
          <w:p w14:paraId="51DD7218" w14:textId="77777777" w:rsidR="00D2643B" w:rsidRPr="00B440D4" w:rsidRDefault="00D2643B" w:rsidP="00B440D4">
            <w:pPr>
              <w:spacing w:after="60" w:line="240" w:lineRule="auto"/>
            </w:pPr>
            <w:r w:rsidRPr="00B440D4">
              <w:t>Cost or fair value measurement for some types of intangible asset (para. 72).</w:t>
            </w:r>
          </w:p>
        </w:tc>
      </w:tr>
      <w:tr w:rsidR="00D2643B" w:rsidRPr="00B440D4" w14:paraId="25DF2C84" w14:textId="77777777" w:rsidTr="00B440D4">
        <w:tc>
          <w:tcPr>
            <w:tcW w:w="918" w:type="dxa"/>
          </w:tcPr>
          <w:p w14:paraId="32BCCF5F" w14:textId="77777777" w:rsidR="00D2643B" w:rsidRPr="00B440D4" w:rsidRDefault="00D2643B" w:rsidP="00B440D4">
            <w:pPr>
              <w:spacing w:after="60" w:line="240" w:lineRule="auto"/>
            </w:pPr>
            <w:r w:rsidRPr="00B440D4">
              <w:t>IAS 39</w:t>
            </w:r>
          </w:p>
        </w:tc>
        <w:tc>
          <w:tcPr>
            <w:tcW w:w="8190" w:type="dxa"/>
          </w:tcPr>
          <w:p w14:paraId="106C4D53" w14:textId="77777777" w:rsidR="00D2643B" w:rsidRPr="00B440D4" w:rsidRDefault="00D2643B" w:rsidP="00B440D4">
            <w:pPr>
              <w:spacing w:after="60" w:line="240" w:lineRule="auto"/>
            </w:pPr>
            <w:r w:rsidRPr="00B440D4">
              <w:t xml:space="preserve">Choice of cost basis or marking to market for some ‘designated’ financial assets and liabilities (para. 9).  (Other choices are also available within para. 9). </w:t>
            </w:r>
          </w:p>
        </w:tc>
      </w:tr>
      <w:tr w:rsidR="00D2643B" w:rsidRPr="00B440D4" w14:paraId="41CBFDCE" w14:textId="77777777" w:rsidTr="00B440D4">
        <w:tc>
          <w:tcPr>
            <w:tcW w:w="918" w:type="dxa"/>
          </w:tcPr>
          <w:p w14:paraId="7DBB82BD" w14:textId="77777777" w:rsidR="00D2643B" w:rsidRPr="00B440D4" w:rsidRDefault="00D2643B" w:rsidP="00B440D4">
            <w:pPr>
              <w:spacing w:after="60" w:line="240" w:lineRule="auto"/>
            </w:pPr>
            <w:r w:rsidRPr="00B440D4">
              <w:t>IAS 39</w:t>
            </w:r>
          </w:p>
        </w:tc>
        <w:tc>
          <w:tcPr>
            <w:tcW w:w="8190" w:type="dxa"/>
          </w:tcPr>
          <w:p w14:paraId="1D93951B" w14:textId="77777777" w:rsidR="00D2643B" w:rsidRPr="00B440D4" w:rsidRDefault="00D2643B" w:rsidP="00B440D4">
            <w:pPr>
              <w:spacing w:after="60" w:line="240" w:lineRule="auto"/>
            </w:pPr>
            <w:r w:rsidRPr="00B440D4">
              <w:t>Trade date or settlement date accounting for ‘regular way’ transactions in financial assets (para. 38).</w:t>
            </w:r>
          </w:p>
        </w:tc>
      </w:tr>
      <w:tr w:rsidR="00D2643B" w:rsidRPr="00B440D4" w14:paraId="420014EB" w14:textId="77777777" w:rsidTr="00B440D4">
        <w:tc>
          <w:tcPr>
            <w:tcW w:w="918" w:type="dxa"/>
          </w:tcPr>
          <w:p w14:paraId="49D4AF3D" w14:textId="77777777" w:rsidR="00D2643B" w:rsidRPr="00B440D4" w:rsidRDefault="00D2643B" w:rsidP="00B440D4">
            <w:pPr>
              <w:spacing w:after="60" w:line="240" w:lineRule="auto"/>
            </w:pPr>
            <w:r w:rsidRPr="00B440D4">
              <w:t>IAS 39</w:t>
            </w:r>
          </w:p>
        </w:tc>
        <w:tc>
          <w:tcPr>
            <w:tcW w:w="8190" w:type="dxa"/>
          </w:tcPr>
          <w:p w14:paraId="7F53841C" w14:textId="77777777" w:rsidR="00D2643B" w:rsidRPr="00B440D4" w:rsidRDefault="00D2643B" w:rsidP="00B440D4">
            <w:pPr>
              <w:spacing w:after="60" w:line="240" w:lineRule="auto"/>
            </w:pPr>
            <w:r w:rsidRPr="00B440D4">
              <w:t>Permission to re-classify financial assets out of trading in ‘rare circumstances’ (para. 50 (c)).</w:t>
            </w:r>
          </w:p>
        </w:tc>
      </w:tr>
      <w:tr w:rsidR="00D2643B" w:rsidRPr="00B440D4" w14:paraId="3B60D003" w14:textId="77777777" w:rsidTr="00B440D4">
        <w:tc>
          <w:tcPr>
            <w:tcW w:w="918" w:type="dxa"/>
          </w:tcPr>
          <w:p w14:paraId="182F40D5" w14:textId="77777777" w:rsidR="00D2643B" w:rsidRPr="00B440D4" w:rsidRDefault="00D2643B" w:rsidP="00B440D4">
            <w:pPr>
              <w:spacing w:after="60" w:line="240" w:lineRule="auto"/>
            </w:pPr>
            <w:r w:rsidRPr="00B440D4">
              <w:t>IAS 39</w:t>
            </w:r>
          </w:p>
        </w:tc>
        <w:tc>
          <w:tcPr>
            <w:tcW w:w="8190" w:type="dxa"/>
          </w:tcPr>
          <w:p w14:paraId="67D6ED77" w14:textId="77777777" w:rsidR="00D2643B" w:rsidRPr="00B440D4" w:rsidRDefault="00D2643B" w:rsidP="00B440D4">
            <w:pPr>
              <w:spacing w:after="60" w:line="240" w:lineRule="auto"/>
            </w:pPr>
            <w:r w:rsidRPr="00B440D4">
              <w:t>Hedge accounting based on the designation of a hedging relationship (para. 71).</w:t>
            </w:r>
          </w:p>
        </w:tc>
      </w:tr>
      <w:tr w:rsidR="00D2643B" w:rsidRPr="00B440D4" w14:paraId="37CE6972" w14:textId="77777777" w:rsidTr="00B440D4">
        <w:tc>
          <w:tcPr>
            <w:tcW w:w="918" w:type="dxa"/>
          </w:tcPr>
          <w:p w14:paraId="0C18DE81" w14:textId="77777777" w:rsidR="00D2643B" w:rsidRPr="00B440D4" w:rsidRDefault="00D2643B" w:rsidP="00B440D4">
            <w:pPr>
              <w:spacing w:after="60" w:line="240" w:lineRule="auto"/>
            </w:pPr>
            <w:r w:rsidRPr="00B440D4">
              <w:t>IAS 40</w:t>
            </w:r>
          </w:p>
        </w:tc>
        <w:tc>
          <w:tcPr>
            <w:tcW w:w="8190" w:type="dxa"/>
          </w:tcPr>
          <w:p w14:paraId="311CC56B" w14:textId="77777777" w:rsidR="00D2643B" w:rsidRPr="00B440D4" w:rsidRDefault="00D2643B" w:rsidP="00B440D4">
            <w:pPr>
              <w:spacing w:after="60" w:line="240" w:lineRule="auto"/>
            </w:pPr>
            <w:r w:rsidRPr="00B440D4">
              <w:t>Permission to classify a property held under an operating lease as an investment property (para. 6).</w:t>
            </w:r>
          </w:p>
        </w:tc>
      </w:tr>
      <w:tr w:rsidR="00D2643B" w:rsidRPr="00B440D4" w14:paraId="5AC6C260" w14:textId="77777777" w:rsidTr="00B440D4">
        <w:tc>
          <w:tcPr>
            <w:tcW w:w="918" w:type="dxa"/>
          </w:tcPr>
          <w:p w14:paraId="04B01083" w14:textId="77777777" w:rsidR="00D2643B" w:rsidRPr="00B440D4" w:rsidRDefault="00D2643B" w:rsidP="00B440D4">
            <w:pPr>
              <w:spacing w:after="60" w:line="240" w:lineRule="auto"/>
            </w:pPr>
            <w:r w:rsidRPr="00B440D4">
              <w:t>IAS 40</w:t>
            </w:r>
          </w:p>
        </w:tc>
        <w:tc>
          <w:tcPr>
            <w:tcW w:w="8190" w:type="dxa"/>
          </w:tcPr>
          <w:p w14:paraId="717619C0" w14:textId="77777777" w:rsidR="00D2643B" w:rsidRPr="00B440D4" w:rsidRDefault="002B2778" w:rsidP="00B440D4">
            <w:pPr>
              <w:spacing w:after="60" w:line="240" w:lineRule="auto"/>
            </w:pPr>
            <w:r>
              <w:t>Entity-wide choice of c</w:t>
            </w:r>
            <w:r w:rsidR="000F5E32">
              <w:t xml:space="preserve">ost or fair value for measurement of </w:t>
            </w:r>
            <w:r w:rsidR="00D2643B" w:rsidRPr="00B440D4">
              <w:t>investment property (para. 30).</w:t>
            </w:r>
          </w:p>
        </w:tc>
      </w:tr>
      <w:tr w:rsidR="00D2643B" w:rsidRPr="00B440D4" w14:paraId="12B9C9C1" w14:textId="77777777" w:rsidTr="00B440D4">
        <w:tc>
          <w:tcPr>
            <w:tcW w:w="918" w:type="dxa"/>
          </w:tcPr>
          <w:p w14:paraId="161BBECF" w14:textId="77777777" w:rsidR="00D2643B" w:rsidRPr="00B440D4" w:rsidRDefault="00D2643B" w:rsidP="00B440D4">
            <w:pPr>
              <w:spacing w:after="60" w:line="240" w:lineRule="auto"/>
            </w:pPr>
            <w:r w:rsidRPr="00B440D4">
              <w:t>IFRS 3</w:t>
            </w:r>
          </w:p>
        </w:tc>
        <w:tc>
          <w:tcPr>
            <w:tcW w:w="8190" w:type="dxa"/>
          </w:tcPr>
          <w:p w14:paraId="4173CE2F" w14:textId="77777777" w:rsidR="00D2643B" w:rsidRPr="00B440D4" w:rsidRDefault="00D2643B" w:rsidP="00B440D4">
            <w:pPr>
              <w:spacing w:after="60" w:line="240" w:lineRule="auto"/>
            </w:pPr>
            <w:r w:rsidRPr="00B440D4">
              <w:t>For measurement of a non-controlling interest, a choice of fair value or the share of the acquiree’s net assets (para. 19).</w:t>
            </w:r>
          </w:p>
        </w:tc>
      </w:tr>
      <w:tr w:rsidR="00D2643B" w:rsidRPr="00B440D4" w14:paraId="61B8BA64" w14:textId="77777777" w:rsidTr="00B440D4">
        <w:tc>
          <w:tcPr>
            <w:tcW w:w="918" w:type="dxa"/>
          </w:tcPr>
          <w:p w14:paraId="7C7D9B12" w14:textId="77777777" w:rsidR="00D2643B" w:rsidRPr="00B440D4" w:rsidRDefault="00D2643B" w:rsidP="00B440D4">
            <w:pPr>
              <w:spacing w:after="60" w:line="240" w:lineRule="auto"/>
            </w:pPr>
            <w:r w:rsidRPr="00B440D4">
              <w:t>IFRS 4</w:t>
            </w:r>
          </w:p>
        </w:tc>
        <w:tc>
          <w:tcPr>
            <w:tcW w:w="8190" w:type="dxa"/>
          </w:tcPr>
          <w:p w14:paraId="79B2F6F3" w14:textId="77777777" w:rsidR="00D2643B" w:rsidRPr="00B440D4" w:rsidRDefault="00D2643B" w:rsidP="00B440D4">
            <w:pPr>
              <w:spacing w:after="60" w:line="240" w:lineRule="auto"/>
            </w:pPr>
            <w:r w:rsidRPr="00B440D4">
              <w:t>Permission for insurers not to separate certain embedded derivatives (para. 8).</w:t>
            </w:r>
          </w:p>
        </w:tc>
      </w:tr>
      <w:tr w:rsidR="00D2643B" w:rsidRPr="00B440D4" w14:paraId="1F05C1C7" w14:textId="77777777" w:rsidTr="00B440D4">
        <w:tc>
          <w:tcPr>
            <w:tcW w:w="918" w:type="dxa"/>
          </w:tcPr>
          <w:p w14:paraId="06D380BF" w14:textId="77777777" w:rsidR="00D2643B" w:rsidRPr="00B440D4" w:rsidRDefault="00D2643B" w:rsidP="00B440D4">
            <w:pPr>
              <w:spacing w:after="60" w:line="240" w:lineRule="auto"/>
            </w:pPr>
            <w:r w:rsidRPr="00B440D4">
              <w:t>IFRS 4</w:t>
            </w:r>
          </w:p>
        </w:tc>
        <w:tc>
          <w:tcPr>
            <w:tcW w:w="8190" w:type="dxa"/>
          </w:tcPr>
          <w:p w14:paraId="7AFEE0DF" w14:textId="77777777" w:rsidR="00D2643B" w:rsidRPr="00B440D4" w:rsidRDefault="00D2643B" w:rsidP="00B440D4">
            <w:pPr>
              <w:spacing w:after="60" w:line="240" w:lineRule="auto"/>
            </w:pPr>
            <w:r w:rsidRPr="00B440D4">
              <w:t>Permission to unbundle components of an insurance contract (para. 10).</w:t>
            </w:r>
          </w:p>
        </w:tc>
      </w:tr>
      <w:tr w:rsidR="00D2643B" w:rsidRPr="00B440D4" w14:paraId="59191C04" w14:textId="77777777" w:rsidTr="00B440D4">
        <w:tc>
          <w:tcPr>
            <w:tcW w:w="918" w:type="dxa"/>
          </w:tcPr>
          <w:p w14:paraId="3AE79F06" w14:textId="77777777" w:rsidR="00D2643B" w:rsidRPr="00B440D4" w:rsidRDefault="00D2643B" w:rsidP="00B440D4">
            <w:pPr>
              <w:spacing w:after="60" w:line="240" w:lineRule="auto"/>
            </w:pPr>
            <w:r w:rsidRPr="00B440D4">
              <w:lastRenderedPageBreak/>
              <w:t>IFRS 4</w:t>
            </w:r>
          </w:p>
        </w:tc>
        <w:tc>
          <w:tcPr>
            <w:tcW w:w="8190" w:type="dxa"/>
          </w:tcPr>
          <w:p w14:paraId="62CC77B4" w14:textId="77777777" w:rsidR="00D2643B" w:rsidRPr="00B440D4" w:rsidRDefault="00D2643B" w:rsidP="00B440D4">
            <w:pPr>
              <w:spacing w:after="60" w:line="240" w:lineRule="auto"/>
            </w:pPr>
            <w:r w:rsidRPr="00B440D4">
              <w:t>Permission to depart from IAS 8 when developing certain accounting policies for insurance contracts (para. 14).</w:t>
            </w:r>
          </w:p>
        </w:tc>
      </w:tr>
      <w:tr w:rsidR="00D2643B" w:rsidRPr="00B440D4" w14:paraId="04434011" w14:textId="77777777" w:rsidTr="00B440D4">
        <w:tc>
          <w:tcPr>
            <w:tcW w:w="918" w:type="dxa"/>
          </w:tcPr>
          <w:p w14:paraId="3354A750" w14:textId="77777777" w:rsidR="00D2643B" w:rsidRPr="00B440D4" w:rsidRDefault="00D2643B" w:rsidP="00B440D4">
            <w:pPr>
              <w:spacing w:after="60" w:line="240" w:lineRule="auto"/>
            </w:pPr>
            <w:r w:rsidRPr="00B440D4">
              <w:t>IFRS 6</w:t>
            </w:r>
          </w:p>
        </w:tc>
        <w:tc>
          <w:tcPr>
            <w:tcW w:w="8190" w:type="dxa"/>
          </w:tcPr>
          <w:p w14:paraId="51A36414" w14:textId="77777777" w:rsidR="00D2643B" w:rsidRPr="00B440D4" w:rsidRDefault="00D2643B" w:rsidP="00B440D4">
            <w:pPr>
              <w:spacing w:after="60" w:line="240" w:lineRule="auto"/>
            </w:pPr>
            <w:r w:rsidRPr="00B440D4">
              <w:t>Permission to depart from aspects of IAS 8 when developing accounting policies for exploration assets (para. 6).</w:t>
            </w:r>
          </w:p>
        </w:tc>
      </w:tr>
      <w:tr w:rsidR="00D2643B" w:rsidRPr="00B440D4" w14:paraId="1A66786E" w14:textId="77777777" w:rsidTr="00B440D4">
        <w:tc>
          <w:tcPr>
            <w:tcW w:w="918" w:type="dxa"/>
          </w:tcPr>
          <w:p w14:paraId="22FD75C3" w14:textId="77777777" w:rsidR="00D2643B" w:rsidRPr="00B440D4" w:rsidRDefault="00D2643B" w:rsidP="00B440D4">
            <w:pPr>
              <w:spacing w:after="60" w:line="240" w:lineRule="auto"/>
            </w:pPr>
            <w:r w:rsidRPr="00B440D4">
              <w:t>IFRS 6</w:t>
            </w:r>
          </w:p>
        </w:tc>
        <w:tc>
          <w:tcPr>
            <w:tcW w:w="8190" w:type="dxa"/>
          </w:tcPr>
          <w:p w14:paraId="709B8C68" w14:textId="77777777" w:rsidR="00D2643B" w:rsidRPr="00B440D4" w:rsidRDefault="00D2643B" w:rsidP="00B440D4">
            <w:pPr>
              <w:spacing w:after="60" w:line="240" w:lineRule="auto"/>
            </w:pPr>
            <w:r w:rsidRPr="00B440D4">
              <w:t>Cost or fair value measurement for exploration assets (para. 12).</w:t>
            </w:r>
          </w:p>
        </w:tc>
      </w:tr>
      <w:tr w:rsidR="00D2643B" w:rsidRPr="00B440D4" w14:paraId="2FD7B0DA" w14:textId="77777777" w:rsidTr="00B440D4">
        <w:tc>
          <w:tcPr>
            <w:tcW w:w="918" w:type="dxa"/>
          </w:tcPr>
          <w:p w14:paraId="6826D72B" w14:textId="77777777" w:rsidR="00D2643B" w:rsidRPr="00B440D4" w:rsidRDefault="00D2643B" w:rsidP="00B440D4">
            <w:pPr>
              <w:spacing w:after="60" w:line="240" w:lineRule="auto"/>
            </w:pPr>
            <w:r w:rsidRPr="00B440D4">
              <w:t>IFRS 9</w:t>
            </w:r>
          </w:p>
        </w:tc>
        <w:tc>
          <w:tcPr>
            <w:tcW w:w="8190" w:type="dxa"/>
          </w:tcPr>
          <w:p w14:paraId="35198A34" w14:textId="77777777" w:rsidR="00D2643B" w:rsidRPr="00B440D4" w:rsidRDefault="00D2643B" w:rsidP="00B440D4">
            <w:pPr>
              <w:spacing w:after="60" w:line="240" w:lineRule="auto"/>
            </w:pPr>
            <w:r w:rsidRPr="00B440D4">
              <w:t>Trade date or settlement date accounting for ‘regular way’ transactions in financial assets (para. 3.1.2).</w:t>
            </w:r>
          </w:p>
        </w:tc>
      </w:tr>
      <w:tr w:rsidR="00D2643B" w:rsidRPr="00B440D4" w14:paraId="25BBBA0C" w14:textId="77777777" w:rsidTr="00B440D4">
        <w:tc>
          <w:tcPr>
            <w:tcW w:w="918" w:type="dxa"/>
          </w:tcPr>
          <w:p w14:paraId="00A86B5F" w14:textId="77777777" w:rsidR="00D2643B" w:rsidRPr="00B440D4" w:rsidRDefault="00D2643B" w:rsidP="00B440D4">
            <w:pPr>
              <w:spacing w:after="60" w:line="240" w:lineRule="auto"/>
            </w:pPr>
            <w:r w:rsidRPr="00B440D4">
              <w:t>IFRS 9</w:t>
            </w:r>
          </w:p>
        </w:tc>
        <w:tc>
          <w:tcPr>
            <w:tcW w:w="8190" w:type="dxa"/>
          </w:tcPr>
          <w:p w14:paraId="582BDCA0" w14:textId="77777777" w:rsidR="00D2643B" w:rsidRPr="00B440D4" w:rsidRDefault="00D2643B" w:rsidP="00B440D4">
            <w:pPr>
              <w:spacing w:after="60" w:line="240" w:lineRule="auto"/>
            </w:pPr>
            <w:r w:rsidRPr="00B440D4">
              <w:t>Option to designate certain financial assets and liabilities at fair value through profit or loss (paras. 4.1.5 and 4.2.2).</w:t>
            </w:r>
          </w:p>
        </w:tc>
      </w:tr>
      <w:tr w:rsidR="00D2643B" w:rsidRPr="00B440D4" w14:paraId="70EE7CAD" w14:textId="77777777" w:rsidTr="00B440D4">
        <w:tc>
          <w:tcPr>
            <w:tcW w:w="918" w:type="dxa"/>
          </w:tcPr>
          <w:p w14:paraId="2DDD2E16" w14:textId="77777777" w:rsidR="00D2643B" w:rsidRPr="00B440D4" w:rsidRDefault="00D2643B" w:rsidP="00B440D4">
            <w:pPr>
              <w:spacing w:after="60" w:line="240" w:lineRule="auto"/>
            </w:pPr>
            <w:r w:rsidRPr="00B440D4">
              <w:t>IFRS 9</w:t>
            </w:r>
          </w:p>
        </w:tc>
        <w:tc>
          <w:tcPr>
            <w:tcW w:w="8190" w:type="dxa"/>
          </w:tcPr>
          <w:p w14:paraId="193DBFA9" w14:textId="77777777" w:rsidR="00D2643B" w:rsidRPr="00B440D4" w:rsidRDefault="00D2643B" w:rsidP="00B440D4">
            <w:pPr>
              <w:spacing w:after="60" w:line="240" w:lineRule="auto"/>
            </w:pPr>
            <w:r w:rsidRPr="00B440D4">
              <w:t>Option to present fair value changes on non-trading financial assets in OCI (para. 5.7.5).</w:t>
            </w:r>
          </w:p>
        </w:tc>
      </w:tr>
      <w:tr w:rsidR="00D2643B" w:rsidRPr="00B440D4" w14:paraId="7C9A2297" w14:textId="77777777" w:rsidTr="00B440D4">
        <w:tc>
          <w:tcPr>
            <w:tcW w:w="9108" w:type="dxa"/>
            <w:gridSpan w:val="2"/>
            <w:tcBorders>
              <w:bottom w:val="single" w:sz="4" w:space="0" w:color="auto"/>
            </w:tcBorders>
          </w:tcPr>
          <w:p w14:paraId="0831E13A" w14:textId="77777777" w:rsidR="00D2643B" w:rsidRPr="00B440D4" w:rsidRDefault="00D2643B" w:rsidP="00B440D4">
            <w:pPr>
              <w:spacing w:after="60" w:line="240" w:lineRule="auto"/>
              <w:ind w:left="270" w:hanging="270"/>
            </w:pPr>
            <w:r w:rsidRPr="00B440D4">
              <w:t>*  For accounting periods beginning on or after 1 January 2013.  Paragraph numbers as at 30 April 2012.</w:t>
            </w:r>
          </w:p>
        </w:tc>
      </w:tr>
    </w:tbl>
    <w:p w14:paraId="402E07B9" w14:textId="77777777" w:rsidR="00D2643B" w:rsidRDefault="00D2643B" w:rsidP="00402205">
      <w:pPr>
        <w:spacing w:after="60" w:line="480" w:lineRule="auto"/>
        <w:rPr>
          <w:b/>
        </w:rPr>
      </w:pPr>
    </w:p>
    <w:p w14:paraId="40EB0A44" w14:textId="77777777" w:rsidR="00D2643B" w:rsidRDefault="00D2643B" w:rsidP="00402205">
      <w:pPr>
        <w:rPr>
          <w:b/>
        </w:rPr>
      </w:pPr>
      <w:r>
        <w:rPr>
          <w:b/>
        </w:rPr>
        <w:br w:type="page"/>
      </w:r>
    </w:p>
    <w:tbl>
      <w:tblPr>
        <w:tblW w:w="892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98"/>
        <w:gridCol w:w="7830"/>
      </w:tblGrid>
      <w:tr w:rsidR="00D2643B" w:rsidRPr="00B440D4" w14:paraId="51F4CD29" w14:textId="77777777" w:rsidTr="00B440D4">
        <w:tc>
          <w:tcPr>
            <w:tcW w:w="8928" w:type="dxa"/>
            <w:gridSpan w:val="2"/>
            <w:tcBorders>
              <w:top w:val="single" w:sz="4" w:space="0" w:color="auto"/>
            </w:tcBorders>
          </w:tcPr>
          <w:p w14:paraId="13F5A62D" w14:textId="77777777" w:rsidR="00D2643B" w:rsidRPr="00B440D4" w:rsidRDefault="00D2643B" w:rsidP="00B440D4">
            <w:pPr>
              <w:spacing w:before="240" w:after="240" w:line="240" w:lineRule="auto"/>
              <w:rPr>
                <w:b/>
              </w:rPr>
            </w:pPr>
            <w:r w:rsidRPr="00B440D4">
              <w:rPr>
                <w:b/>
              </w:rPr>
              <w:lastRenderedPageBreak/>
              <w:t>Table 3.  Former overt options in IFRS*</w:t>
            </w:r>
          </w:p>
        </w:tc>
      </w:tr>
      <w:tr w:rsidR="00D2643B" w:rsidRPr="00B440D4" w14:paraId="4B009114" w14:textId="77777777" w:rsidTr="00B440D4">
        <w:tc>
          <w:tcPr>
            <w:tcW w:w="8928" w:type="dxa"/>
            <w:gridSpan w:val="2"/>
          </w:tcPr>
          <w:p w14:paraId="376F7C4E" w14:textId="77777777" w:rsidR="00D2643B" w:rsidRPr="00B440D4" w:rsidRDefault="00D2643B" w:rsidP="00B440D4">
            <w:pPr>
              <w:spacing w:after="120"/>
              <w:rPr>
                <w:i/>
              </w:rPr>
            </w:pPr>
            <w:r w:rsidRPr="00B440D4">
              <w:rPr>
                <w:i/>
              </w:rPr>
              <w:t>Until (and including) 2004</w:t>
            </w:r>
          </w:p>
        </w:tc>
      </w:tr>
      <w:tr w:rsidR="00D2643B" w:rsidRPr="00B440D4" w14:paraId="455504C4" w14:textId="77777777" w:rsidTr="00B440D4">
        <w:tc>
          <w:tcPr>
            <w:tcW w:w="1098" w:type="dxa"/>
          </w:tcPr>
          <w:p w14:paraId="6FCA96D0" w14:textId="77777777" w:rsidR="00D2643B" w:rsidRPr="00B440D4" w:rsidRDefault="00D2643B" w:rsidP="00B440D4">
            <w:pPr>
              <w:spacing w:after="120" w:line="240" w:lineRule="auto"/>
            </w:pPr>
            <w:r w:rsidRPr="00B440D4">
              <w:t>IAS 2</w:t>
            </w:r>
          </w:p>
        </w:tc>
        <w:tc>
          <w:tcPr>
            <w:tcW w:w="7830" w:type="dxa"/>
          </w:tcPr>
          <w:p w14:paraId="4A088EA4" w14:textId="77777777" w:rsidR="00D2643B" w:rsidRPr="00B440D4" w:rsidRDefault="00D2643B" w:rsidP="00B440D4">
            <w:pPr>
              <w:spacing w:after="120" w:line="240" w:lineRule="auto"/>
            </w:pPr>
            <w:r w:rsidRPr="00B440D4">
              <w:t>LIFO basis allowed (para. 23).</w:t>
            </w:r>
          </w:p>
        </w:tc>
      </w:tr>
      <w:tr w:rsidR="00D2643B" w:rsidRPr="00B440D4" w14:paraId="2C108857" w14:textId="77777777" w:rsidTr="00B440D4">
        <w:tc>
          <w:tcPr>
            <w:tcW w:w="1098" w:type="dxa"/>
          </w:tcPr>
          <w:p w14:paraId="69A4AF36" w14:textId="77777777" w:rsidR="00D2643B" w:rsidRPr="00B440D4" w:rsidRDefault="00D2643B" w:rsidP="00B440D4">
            <w:pPr>
              <w:spacing w:after="120" w:line="240" w:lineRule="auto"/>
            </w:pPr>
            <w:r w:rsidRPr="00B440D4">
              <w:t>IAS 8</w:t>
            </w:r>
          </w:p>
        </w:tc>
        <w:tc>
          <w:tcPr>
            <w:tcW w:w="7830" w:type="dxa"/>
          </w:tcPr>
          <w:p w14:paraId="6DE2ACEA" w14:textId="77777777" w:rsidR="00D2643B" w:rsidRPr="00B440D4" w:rsidRDefault="00D2643B" w:rsidP="00B440D4">
            <w:pPr>
              <w:spacing w:after="120" w:line="240" w:lineRule="auto"/>
            </w:pPr>
            <w:r w:rsidRPr="00B440D4">
              <w:t>Policy changes and error corrections could be taken through the income statement (para. 38).</w:t>
            </w:r>
          </w:p>
        </w:tc>
      </w:tr>
      <w:tr w:rsidR="00D2643B" w:rsidRPr="00B440D4" w14:paraId="1280A442" w14:textId="77777777" w:rsidTr="00B440D4">
        <w:tc>
          <w:tcPr>
            <w:tcW w:w="1098" w:type="dxa"/>
          </w:tcPr>
          <w:p w14:paraId="114B4AD9" w14:textId="77777777" w:rsidR="00D2643B" w:rsidRPr="00B440D4" w:rsidRDefault="00D2643B" w:rsidP="00B440D4">
            <w:pPr>
              <w:spacing w:after="120" w:line="240" w:lineRule="auto"/>
            </w:pPr>
            <w:r w:rsidRPr="00B440D4">
              <w:t>IAS 21</w:t>
            </w:r>
          </w:p>
        </w:tc>
        <w:tc>
          <w:tcPr>
            <w:tcW w:w="7830" w:type="dxa"/>
          </w:tcPr>
          <w:p w14:paraId="10832720" w14:textId="77777777" w:rsidR="00D2643B" w:rsidRPr="00B440D4" w:rsidRDefault="00D2643B" w:rsidP="00B440D4">
            <w:pPr>
              <w:spacing w:after="120" w:line="240" w:lineRule="auto"/>
            </w:pPr>
            <w:r w:rsidRPr="00B440D4">
              <w:t>Certain exchange differences from ‘severe devaluation’ could be capitalised (para. 21).</w:t>
            </w:r>
          </w:p>
        </w:tc>
      </w:tr>
      <w:tr w:rsidR="00D2643B" w:rsidRPr="00B440D4" w14:paraId="21C26E5F" w14:textId="77777777" w:rsidTr="00B440D4">
        <w:tc>
          <w:tcPr>
            <w:tcW w:w="1098" w:type="dxa"/>
          </w:tcPr>
          <w:p w14:paraId="6C2A4334" w14:textId="77777777" w:rsidR="00D2643B" w:rsidRPr="00B440D4" w:rsidRDefault="00D2643B" w:rsidP="00B440D4">
            <w:pPr>
              <w:spacing w:after="120" w:line="240" w:lineRule="auto"/>
            </w:pPr>
            <w:r w:rsidRPr="00B440D4">
              <w:t>IAS 27</w:t>
            </w:r>
          </w:p>
        </w:tc>
        <w:tc>
          <w:tcPr>
            <w:tcW w:w="7830" w:type="dxa"/>
          </w:tcPr>
          <w:p w14:paraId="2C6109D1" w14:textId="77777777" w:rsidR="00D2643B" w:rsidRPr="00B440D4" w:rsidRDefault="00D2643B" w:rsidP="00B440D4">
            <w:pPr>
              <w:spacing w:after="120" w:line="240" w:lineRule="auto"/>
            </w:pPr>
            <w:r w:rsidRPr="00B440D4">
              <w:t>Option to present minority interests outside of equity (para. 26).</w:t>
            </w:r>
          </w:p>
        </w:tc>
      </w:tr>
      <w:tr w:rsidR="00D2643B" w:rsidRPr="00B440D4" w14:paraId="122E8E44" w14:textId="77777777" w:rsidTr="00B440D4">
        <w:tc>
          <w:tcPr>
            <w:tcW w:w="8928" w:type="dxa"/>
            <w:gridSpan w:val="2"/>
          </w:tcPr>
          <w:p w14:paraId="3B10E504" w14:textId="77777777" w:rsidR="00D2643B" w:rsidRPr="00B440D4" w:rsidRDefault="00D2643B" w:rsidP="00B440D4">
            <w:pPr>
              <w:spacing w:after="120"/>
              <w:rPr>
                <w:i/>
              </w:rPr>
            </w:pPr>
            <w:r w:rsidRPr="00B440D4">
              <w:rPr>
                <w:i/>
              </w:rPr>
              <w:t>Until (and including) 2008</w:t>
            </w:r>
          </w:p>
        </w:tc>
      </w:tr>
      <w:tr w:rsidR="00D2643B" w:rsidRPr="00B440D4" w14:paraId="459DED74" w14:textId="77777777" w:rsidTr="00B440D4">
        <w:tc>
          <w:tcPr>
            <w:tcW w:w="1098" w:type="dxa"/>
          </w:tcPr>
          <w:p w14:paraId="1F1488F1" w14:textId="77777777" w:rsidR="00D2643B" w:rsidRPr="00B440D4" w:rsidRDefault="00D2643B" w:rsidP="00B440D4">
            <w:pPr>
              <w:spacing w:after="120" w:line="240" w:lineRule="auto"/>
            </w:pPr>
            <w:r w:rsidRPr="00B440D4">
              <w:t>IAS 1</w:t>
            </w:r>
          </w:p>
        </w:tc>
        <w:tc>
          <w:tcPr>
            <w:tcW w:w="7830" w:type="dxa"/>
          </w:tcPr>
          <w:p w14:paraId="71D64EE7" w14:textId="77777777" w:rsidR="00D2643B" w:rsidRPr="00B440D4" w:rsidRDefault="00D2643B" w:rsidP="00B440D4">
            <w:pPr>
              <w:spacing w:after="120" w:line="240" w:lineRule="auto"/>
            </w:pPr>
            <w:r w:rsidRPr="00B440D4">
              <w:t>Choice of two types of presentation of OCI (para. 10).</w:t>
            </w:r>
          </w:p>
        </w:tc>
      </w:tr>
      <w:tr w:rsidR="00D2643B" w:rsidRPr="00B440D4" w14:paraId="798D29F0" w14:textId="77777777" w:rsidTr="00B440D4">
        <w:tc>
          <w:tcPr>
            <w:tcW w:w="1098" w:type="dxa"/>
          </w:tcPr>
          <w:p w14:paraId="56AB4698" w14:textId="77777777" w:rsidR="00D2643B" w:rsidRPr="00B440D4" w:rsidRDefault="00D2643B" w:rsidP="00B440D4">
            <w:pPr>
              <w:spacing w:after="120" w:line="240" w:lineRule="auto"/>
            </w:pPr>
            <w:r w:rsidRPr="00B440D4">
              <w:t>IAS 23</w:t>
            </w:r>
          </w:p>
        </w:tc>
        <w:tc>
          <w:tcPr>
            <w:tcW w:w="7830" w:type="dxa"/>
          </w:tcPr>
          <w:p w14:paraId="03C00BB1" w14:textId="77777777" w:rsidR="00D2643B" w:rsidRPr="00B440D4" w:rsidRDefault="00D2643B" w:rsidP="00B440D4">
            <w:pPr>
              <w:spacing w:after="120" w:line="240" w:lineRule="auto"/>
            </w:pPr>
            <w:r w:rsidRPr="00B440D4">
              <w:t>Choice of capitalising or expensing interest costs on construction contracts (paras. 7 and 10).</w:t>
            </w:r>
          </w:p>
        </w:tc>
      </w:tr>
      <w:tr w:rsidR="00D2643B" w:rsidRPr="00B440D4" w14:paraId="7DA425C4" w14:textId="77777777" w:rsidTr="00B440D4">
        <w:tc>
          <w:tcPr>
            <w:tcW w:w="8928" w:type="dxa"/>
            <w:gridSpan w:val="2"/>
          </w:tcPr>
          <w:p w14:paraId="378ED592" w14:textId="77777777" w:rsidR="00D2643B" w:rsidRPr="00B440D4" w:rsidRDefault="00D2643B" w:rsidP="00B440D4">
            <w:pPr>
              <w:spacing w:after="120"/>
              <w:rPr>
                <w:i/>
              </w:rPr>
            </w:pPr>
            <w:r w:rsidRPr="00B440D4">
              <w:rPr>
                <w:i/>
              </w:rPr>
              <w:t>Until (and including) 2012</w:t>
            </w:r>
          </w:p>
        </w:tc>
      </w:tr>
      <w:tr w:rsidR="00D2643B" w:rsidRPr="00B440D4" w14:paraId="39FBA980" w14:textId="77777777" w:rsidTr="00B440D4">
        <w:tc>
          <w:tcPr>
            <w:tcW w:w="1098" w:type="dxa"/>
          </w:tcPr>
          <w:p w14:paraId="1D49C757" w14:textId="77777777" w:rsidR="00D2643B" w:rsidRPr="00B440D4" w:rsidRDefault="00D2643B" w:rsidP="00B440D4">
            <w:pPr>
              <w:spacing w:after="120" w:line="240" w:lineRule="auto"/>
            </w:pPr>
            <w:r w:rsidRPr="00B440D4">
              <w:t>IAS 19</w:t>
            </w:r>
          </w:p>
        </w:tc>
        <w:tc>
          <w:tcPr>
            <w:tcW w:w="7830" w:type="dxa"/>
          </w:tcPr>
          <w:p w14:paraId="32712741" w14:textId="77777777" w:rsidR="00D2643B" w:rsidRPr="00B440D4" w:rsidRDefault="00D2643B" w:rsidP="00B440D4">
            <w:pPr>
              <w:spacing w:after="120" w:line="240" w:lineRule="auto"/>
            </w:pPr>
            <w:r w:rsidRPr="00B440D4">
              <w:t>Actuarial gains and losses could be taken (a) immediately in full to OCI, (b) immediately</w:t>
            </w:r>
            <w:r w:rsidR="002B2778">
              <w:t xml:space="preserve"> in full profit or loss, (c) in full to profit or loss</w:t>
            </w:r>
            <w:r w:rsidRPr="00B440D4">
              <w:t xml:space="preserve"> over the remaining useful lives of employees in</w:t>
            </w:r>
            <w:r w:rsidR="002B2778">
              <w:t xml:space="preserve"> the plan, (d) in part to profit or loss</w:t>
            </w:r>
            <w:r w:rsidRPr="00B440D4">
              <w:t xml:space="preserve"> over that period (corridor method), </w:t>
            </w:r>
            <w:r w:rsidR="002B2778">
              <w:t>(e) in full or in part to profit or loss</w:t>
            </w:r>
            <w:r w:rsidRPr="00B440D4">
              <w:t xml:space="preserve"> over a shorter period (paras. 92 – 93A).</w:t>
            </w:r>
          </w:p>
        </w:tc>
      </w:tr>
      <w:tr w:rsidR="00D2643B" w:rsidRPr="00B440D4" w14:paraId="135A5459" w14:textId="77777777" w:rsidTr="00B440D4">
        <w:tc>
          <w:tcPr>
            <w:tcW w:w="1098" w:type="dxa"/>
          </w:tcPr>
          <w:p w14:paraId="06A278E2" w14:textId="77777777" w:rsidR="00D2643B" w:rsidRPr="00B440D4" w:rsidRDefault="00D2643B" w:rsidP="00B440D4">
            <w:pPr>
              <w:spacing w:after="120" w:line="240" w:lineRule="auto"/>
            </w:pPr>
            <w:r w:rsidRPr="00B440D4">
              <w:t>IAS 31</w:t>
            </w:r>
          </w:p>
        </w:tc>
        <w:tc>
          <w:tcPr>
            <w:tcW w:w="7830" w:type="dxa"/>
          </w:tcPr>
          <w:p w14:paraId="2204205D" w14:textId="77777777" w:rsidR="00D2643B" w:rsidRPr="00B440D4" w:rsidRDefault="00D2643B" w:rsidP="00B440D4">
            <w:pPr>
              <w:spacing w:after="120" w:line="240" w:lineRule="auto"/>
            </w:pPr>
            <w:r w:rsidRPr="00B440D4">
              <w:t>In consolidated statements, there was a choice of proportional consolidation or equity accounting for joint venture entities (para. 30).</w:t>
            </w:r>
          </w:p>
        </w:tc>
      </w:tr>
      <w:tr w:rsidR="00D2643B" w:rsidRPr="00B440D4" w14:paraId="600F228D" w14:textId="77777777" w:rsidTr="00B440D4">
        <w:tc>
          <w:tcPr>
            <w:tcW w:w="8928" w:type="dxa"/>
            <w:gridSpan w:val="2"/>
            <w:tcBorders>
              <w:bottom w:val="single" w:sz="4" w:space="0" w:color="auto"/>
            </w:tcBorders>
          </w:tcPr>
          <w:p w14:paraId="0B629587" w14:textId="77777777" w:rsidR="00D2643B" w:rsidRPr="00B440D4" w:rsidRDefault="00D2643B" w:rsidP="00B440D4">
            <w:pPr>
              <w:spacing w:after="120" w:line="240" w:lineRule="auto"/>
              <w:ind w:left="270" w:hanging="270"/>
            </w:pPr>
            <w:r w:rsidRPr="00B440D4">
              <w:t>*</w:t>
            </w:r>
            <w:r w:rsidRPr="00B440D4">
              <w:tab/>
              <w:t>Paragraph numbers relate to the last versions of the IASs before the removal of the relevant option.</w:t>
            </w:r>
          </w:p>
        </w:tc>
      </w:tr>
    </w:tbl>
    <w:p w14:paraId="3FAD5224" w14:textId="77777777" w:rsidR="00D2643B" w:rsidRDefault="00D2643B" w:rsidP="007169A5">
      <w:pPr>
        <w:spacing w:after="60" w:line="480" w:lineRule="auto"/>
        <w:rPr>
          <w:b/>
        </w:rPr>
      </w:pPr>
    </w:p>
    <w:p w14:paraId="7734FD86" w14:textId="77777777" w:rsidR="00D2643B" w:rsidRDefault="00D2643B" w:rsidP="007169A5">
      <w:pPr>
        <w:spacing w:after="60" w:line="480" w:lineRule="auto"/>
        <w:rPr>
          <w:b/>
        </w:rPr>
      </w:pPr>
    </w:p>
    <w:p w14:paraId="46EF04B3" w14:textId="77777777" w:rsidR="00D2643B" w:rsidRDefault="00D2643B" w:rsidP="007169A5">
      <w:pPr>
        <w:spacing w:after="60" w:line="480" w:lineRule="auto"/>
        <w:rPr>
          <w:b/>
        </w:rPr>
      </w:pPr>
    </w:p>
    <w:p w14:paraId="5A942D27" w14:textId="77777777" w:rsidR="00D2643B" w:rsidRDefault="00D2643B" w:rsidP="007169A5">
      <w:pPr>
        <w:spacing w:after="60" w:line="480" w:lineRule="auto"/>
        <w:rPr>
          <w:b/>
        </w:rPr>
      </w:pPr>
    </w:p>
    <w:p w14:paraId="0195211D" w14:textId="77777777" w:rsidR="00D2643B" w:rsidRDefault="00D2643B" w:rsidP="007169A5">
      <w:pPr>
        <w:spacing w:after="60" w:line="480" w:lineRule="auto"/>
        <w:rPr>
          <w:b/>
        </w:rPr>
      </w:pPr>
    </w:p>
    <w:p w14:paraId="5124173F" w14:textId="77777777" w:rsidR="00D2643B" w:rsidRDefault="00D2643B" w:rsidP="007169A5">
      <w:pPr>
        <w:spacing w:after="60" w:line="480" w:lineRule="auto"/>
        <w:rPr>
          <w:b/>
        </w:rPr>
      </w:pPr>
    </w:p>
    <w:p w14:paraId="709CB130" w14:textId="77777777" w:rsidR="00D2643B" w:rsidRDefault="00D2643B" w:rsidP="007169A5">
      <w:pPr>
        <w:spacing w:after="60" w:line="480" w:lineRule="auto"/>
        <w:rPr>
          <w:b/>
        </w:rPr>
      </w:pPr>
    </w:p>
    <w:p w14:paraId="464679EB" w14:textId="77777777" w:rsidR="00D2643B" w:rsidRDefault="00D2643B" w:rsidP="007169A5">
      <w:pPr>
        <w:spacing w:after="60" w:line="480" w:lineRule="auto"/>
        <w:rPr>
          <w:b/>
        </w:rPr>
      </w:pPr>
    </w:p>
    <w:p w14:paraId="18C01366" w14:textId="77777777" w:rsidR="00D2643B" w:rsidRDefault="00D2643B" w:rsidP="00402205">
      <w:pPr>
        <w:spacing w:after="60" w:line="480" w:lineRule="auto"/>
        <w:rPr>
          <w:b/>
        </w:rPr>
      </w:pPr>
    </w:p>
    <w:p w14:paraId="1BB50088" w14:textId="77777777" w:rsidR="00D2643B" w:rsidRDefault="00D2643B" w:rsidP="00402205">
      <w:pPr>
        <w:rPr>
          <w:b/>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7720"/>
      </w:tblGrid>
      <w:tr w:rsidR="00D2643B" w:rsidRPr="00B440D4" w14:paraId="41C0AE58" w14:textId="77777777" w:rsidTr="00B440D4">
        <w:tc>
          <w:tcPr>
            <w:tcW w:w="8882" w:type="dxa"/>
            <w:gridSpan w:val="2"/>
            <w:tcBorders>
              <w:top w:val="single" w:sz="4" w:space="0" w:color="auto"/>
            </w:tcBorders>
          </w:tcPr>
          <w:p w14:paraId="09E21808" w14:textId="77777777" w:rsidR="00D2643B" w:rsidRPr="00B440D4" w:rsidRDefault="00D2643B" w:rsidP="00B440D4">
            <w:pPr>
              <w:spacing w:before="240" w:after="240" w:line="240" w:lineRule="auto"/>
            </w:pPr>
            <w:r w:rsidRPr="00B440D4">
              <w:rPr>
                <w:b/>
              </w:rPr>
              <w:lastRenderedPageBreak/>
              <w:t>Table 4.  IFRS policy choices that are or were† easily observed</w:t>
            </w:r>
          </w:p>
        </w:tc>
      </w:tr>
      <w:tr w:rsidR="00D2643B" w:rsidRPr="00B440D4" w14:paraId="76B04457" w14:textId="77777777" w:rsidTr="00B440D4">
        <w:tc>
          <w:tcPr>
            <w:tcW w:w="576" w:type="dxa"/>
          </w:tcPr>
          <w:p w14:paraId="17ED2BBB" w14:textId="77777777" w:rsidR="00D2643B" w:rsidRPr="00B440D4" w:rsidRDefault="00D2643B" w:rsidP="00B440D4">
            <w:pPr>
              <w:spacing w:after="0" w:line="240" w:lineRule="auto"/>
            </w:pPr>
            <w:r w:rsidRPr="00B440D4">
              <w:t>1*</w:t>
            </w:r>
          </w:p>
        </w:tc>
        <w:tc>
          <w:tcPr>
            <w:tcW w:w="8306" w:type="dxa"/>
          </w:tcPr>
          <w:p w14:paraId="00B35C89" w14:textId="77777777" w:rsidR="00D2643B" w:rsidRPr="00B440D4" w:rsidRDefault="00D2643B" w:rsidP="00B440D4">
            <w:pPr>
              <w:tabs>
                <w:tab w:val="left" w:pos="540"/>
              </w:tabs>
              <w:spacing w:after="0" w:line="240" w:lineRule="auto"/>
            </w:pPr>
            <w:r w:rsidRPr="00B440D4">
              <w:t>(a)</w:t>
            </w:r>
            <w:r w:rsidRPr="00B440D4">
              <w:tab/>
              <w:t>balance sheet shows assets = credits</w:t>
            </w:r>
          </w:p>
          <w:p w14:paraId="7BF19EB3" w14:textId="77777777" w:rsidR="00D2643B" w:rsidRPr="00B440D4" w:rsidRDefault="00D2643B" w:rsidP="00B440D4">
            <w:pPr>
              <w:tabs>
                <w:tab w:val="left" w:pos="522"/>
              </w:tabs>
              <w:spacing w:after="0" w:line="240" w:lineRule="auto"/>
            </w:pPr>
            <w:r w:rsidRPr="00B440D4">
              <w:t>(b)</w:t>
            </w:r>
            <w:r w:rsidRPr="00B440D4">
              <w:tab/>
              <w:t>shows net assets</w:t>
            </w:r>
          </w:p>
          <w:p w14:paraId="7F623C4D" w14:textId="77777777" w:rsidR="00D2643B" w:rsidRPr="00B440D4" w:rsidRDefault="00D2643B" w:rsidP="00B440D4">
            <w:pPr>
              <w:tabs>
                <w:tab w:val="left" w:pos="522"/>
              </w:tabs>
              <w:spacing w:after="0" w:line="240" w:lineRule="auto"/>
            </w:pPr>
          </w:p>
        </w:tc>
      </w:tr>
      <w:tr w:rsidR="00D2643B" w:rsidRPr="00B440D4" w14:paraId="7855BC93" w14:textId="77777777" w:rsidTr="00B440D4">
        <w:trPr>
          <w:trHeight w:val="288"/>
        </w:trPr>
        <w:tc>
          <w:tcPr>
            <w:tcW w:w="576" w:type="dxa"/>
          </w:tcPr>
          <w:p w14:paraId="633AACDF" w14:textId="77777777" w:rsidR="00D2643B" w:rsidRPr="00B440D4" w:rsidRDefault="00D2643B" w:rsidP="00B440D4">
            <w:pPr>
              <w:tabs>
                <w:tab w:val="left" w:pos="540"/>
              </w:tabs>
              <w:spacing w:after="0" w:line="240" w:lineRule="auto"/>
              <w:ind w:left="1080" w:hanging="1080"/>
            </w:pPr>
            <w:r w:rsidRPr="00B440D4">
              <w:t>2*</w:t>
            </w:r>
          </w:p>
        </w:tc>
        <w:tc>
          <w:tcPr>
            <w:tcW w:w="8306" w:type="dxa"/>
          </w:tcPr>
          <w:p w14:paraId="5D06DD2C" w14:textId="77777777" w:rsidR="00D2643B" w:rsidRPr="00B440D4" w:rsidRDefault="00D2643B" w:rsidP="00B440D4">
            <w:pPr>
              <w:tabs>
                <w:tab w:val="left" w:pos="540"/>
              </w:tabs>
              <w:spacing w:after="0" w:line="240" w:lineRule="auto"/>
            </w:pPr>
            <w:r w:rsidRPr="00B440D4">
              <w:t>(a)</w:t>
            </w:r>
            <w:r w:rsidRPr="00B440D4">
              <w:tab/>
              <w:t>liquidity decreasing (cash at top)</w:t>
            </w:r>
          </w:p>
          <w:p w14:paraId="6B5FCBFB" w14:textId="77777777" w:rsidR="00D2643B" w:rsidRPr="00B440D4" w:rsidRDefault="00D2643B" w:rsidP="00B440D4">
            <w:pPr>
              <w:tabs>
                <w:tab w:val="left" w:pos="540"/>
              </w:tabs>
              <w:spacing w:after="0" w:line="240" w:lineRule="auto"/>
            </w:pPr>
            <w:r w:rsidRPr="00B440D4">
              <w:t>(b)</w:t>
            </w:r>
            <w:r w:rsidRPr="00B440D4">
              <w:tab/>
              <w:t>liquidity increasing</w:t>
            </w:r>
          </w:p>
          <w:p w14:paraId="552144B5" w14:textId="77777777" w:rsidR="00D2643B" w:rsidRPr="00B440D4" w:rsidRDefault="00D2643B" w:rsidP="00B440D4">
            <w:pPr>
              <w:tabs>
                <w:tab w:val="left" w:pos="540"/>
              </w:tabs>
              <w:spacing w:after="0" w:line="240" w:lineRule="auto"/>
            </w:pPr>
          </w:p>
        </w:tc>
      </w:tr>
      <w:tr w:rsidR="00D2643B" w:rsidRPr="00B440D4" w14:paraId="0EAC49B9" w14:textId="77777777" w:rsidTr="00B440D4">
        <w:trPr>
          <w:trHeight w:val="276"/>
        </w:trPr>
        <w:tc>
          <w:tcPr>
            <w:tcW w:w="576" w:type="dxa"/>
          </w:tcPr>
          <w:p w14:paraId="0C305807" w14:textId="77777777" w:rsidR="00D2643B" w:rsidRPr="00B440D4" w:rsidRDefault="00D2643B" w:rsidP="00B440D4">
            <w:pPr>
              <w:tabs>
                <w:tab w:val="left" w:pos="540"/>
              </w:tabs>
              <w:spacing w:after="0" w:line="240" w:lineRule="auto"/>
              <w:ind w:left="1080" w:hanging="1080"/>
            </w:pPr>
            <w:r w:rsidRPr="00B440D4">
              <w:t>3*</w:t>
            </w:r>
          </w:p>
        </w:tc>
        <w:tc>
          <w:tcPr>
            <w:tcW w:w="8306" w:type="dxa"/>
          </w:tcPr>
          <w:p w14:paraId="35ADCB80" w14:textId="77777777" w:rsidR="00D2643B" w:rsidRPr="00B440D4" w:rsidRDefault="00D2643B" w:rsidP="00B440D4">
            <w:pPr>
              <w:tabs>
                <w:tab w:val="left" w:pos="540"/>
              </w:tabs>
              <w:spacing w:after="0" w:line="240" w:lineRule="auto"/>
            </w:pPr>
            <w:r w:rsidRPr="00B440D4">
              <w:t>(a)</w:t>
            </w:r>
            <w:r w:rsidRPr="00B440D4">
              <w:tab/>
              <w:t>income statement by function</w:t>
            </w:r>
          </w:p>
          <w:p w14:paraId="6764C7DD" w14:textId="77777777" w:rsidR="00D2643B" w:rsidRPr="00B440D4" w:rsidRDefault="00D2643B" w:rsidP="00B440D4">
            <w:pPr>
              <w:tabs>
                <w:tab w:val="left" w:pos="540"/>
              </w:tabs>
              <w:spacing w:after="0" w:line="240" w:lineRule="auto"/>
            </w:pPr>
            <w:r w:rsidRPr="00B440D4">
              <w:t>(b)</w:t>
            </w:r>
            <w:r w:rsidRPr="00B440D4">
              <w:tab/>
              <w:t>by nature</w:t>
            </w:r>
          </w:p>
          <w:p w14:paraId="20544560" w14:textId="77777777" w:rsidR="00D2643B" w:rsidRPr="00B440D4" w:rsidRDefault="00D2643B" w:rsidP="00B440D4">
            <w:pPr>
              <w:tabs>
                <w:tab w:val="left" w:pos="540"/>
              </w:tabs>
              <w:spacing w:after="0" w:line="240" w:lineRule="auto"/>
            </w:pPr>
            <w:r w:rsidRPr="00B440D4">
              <w:t>(c)</w:t>
            </w:r>
            <w:r w:rsidRPr="00B440D4">
              <w:tab/>
              <w:t>neither</w:t>
            </w:r>
          </w:p>
          <w:p w14:paraId="5BF6306A" w14:textId="77777777" w:rsidR="00D2643B" w:rsidRPr="00B440D4" w:rsidRDefault="00D2643B" w:rsidP="00B440D4">
            <w:pPr>
              <w:tabs>
                <w:tab w:val="left" w:pos="540"/>
              </w:tabs>
              <w:spacing w:after="0" w:line="240" w:lineRule="auto"/>
            </w:pPr>
          </w:p>
        </w:tc>
      </w:tr>
      <w:tr w:rsidR="00D2643B" w:rsidRPr="00B440D4" w14:paraId="2B1FE5EB" w14:textId="77777777" w:rsidTr="00B440D4">
        <w:trPr>
          <w:trHeight w:val="276"/>
        </w:trPr>
        <w:tc>
          <w:tcPr>
            <w:tcW w:w="576" w:type="dxa"/>
          </w:tcPr>
          <w:p w14:paraId="0294F150" w14:textId="77777777" w:rsidR="00D2643B" w:rsidRPr="00B440D4" w:rsidRDefault="00D2643B" w:rsidP="00B440D4">
            <w:pPr>
              <w:tabs>
                <w:tab w:val="left" w:pos="540"/>
              </w:tabs>
              <w:spacing w:after="0" w:line="240" w:lineRule="auto"/>
              <w:ind w:left="1080" w:hanging="1080"/>
            </w:pPr>
            <w:r w:rsidRPr="00B440D4">
              <w:t>4*</w:t>
            </w:r>
          </w:p>
        </w:tc>
        <w:tc>
          <w:tcPr>
            <w:tcW w:w="8306" w:type="dxa"/>
          </w:tcPr>
          <w:p w14:paraId="26FA38E5" w14:textId="77777777" w:rsidR="00D2643B" w:rsidRPr="00B440D4" w:rsidRDefault="00D2643B" w:rsidP="00B440D4">
            <w:pPr>
              <w:tabs>
                <w:tab w:val="left" w:pos="540"/>
              </w:tabs>
              <w:spacing w:after="0" w:line="240" w:lineRule="auto"/>
            </w:pPr>
            <w:r w:rsidRPr="00B440D4">
              <w:t>(a)</w:t>
            </w:r>
            <w:r w:rsidRPr="00B440D4">
              <w:tab/>
              <w:t>equity accounting results included in “operating” profit</w:t>
            </w:r>
          </w:p>
          <w:p w14:paraId="686570D3" w14:textId="77777777" w:rsidR="00D2643B" w:rsidRPr="00B440D4" w:rsidRDefault="00D2643B" w:rsidP="00B440D4">
            <w:pPr>
              <w:tabs>
                <w:tab w:val="left" w:pos="540"/>
              </w:tabs>
              <w:spacing w:after="0" w:line="240" w:lineRule="auto"/>
            </w:pPr>
            <w:r w:rsidRPr="00B440D4">
              <w:t>(b)</w:t>
            </w:r>
            <w:r w:rsidRPr="00B440D4">
              <w:tab/>
              <w:t>immediately after</w:t>
            </w:r>
            <w:r w:rsidR="004D5A69">
              <w:t xml:space="preserve"> operating profit</w:t>
            </w:r>
          </w:p>
          <w:p w14:paraId="16A63203" w14:textId="77777777" w:rsidR="00D2643B" w:rsidRPr="00B440D4" w:rsidRDefault="00D2643B" w:rsidP="00B440D4">
            <w:pPr>
              <w:tabs>
                <w:tab w:val="left" w:pos="540"/>
              </w:tabs>
              <w:spacing w:after="0" w:line="240" w:lineRule="auto"/>
            </w:pPr>
            <w:r w:rsidRPr="00B440D4">
              <w:t>(c)</w:t>
            </w:r>
            <w:r w:rsidRPr="00B440D4">
              <w:tab/>
              <w:t>after finance</w:t>
            </w:r>
          </w:p>
          <w:p w14:paraId="00D94B06" w14:textId="77777777" w:rsidR="00D2643B" w:rsidRPr="00B440D4" w:rsidRDefault="00D2643B" w:rsidP="00B440D4">
            <w:pPr>
              <w:tabs>
                <w:tab w:val="left" w:pos="540"/>
              </w:tabs>
              <w:spacing w:after="0" w:line="240" w:lineRule="auto"/>
            </w:pPr>
          </w:p>
        </w:tc>
      </w:tr>
      <w:tr w:rsidR="00D2643B" w:rsidRPr="00B440D4" w14:paraId="638A4A76" w14:textId="77777777" w:rsidTr="00B440D4">
        <w:trPr>
          <w:trHeight w:val="276"/>
        </w:trPr>
        <w:tc>
          <w:tcPr>
            <w:tcW w:w="576" w:type="dxa"/>
          </w:tcPr>
          <w:p w14:paraId="01C43FD1" w14:textId="77777777" w:rsidR="00D2643B" w:rsidRPr="00B440D4" w:rsidRDefault="00D2643B" w:rsidP="00B440D4">
            <w:pPr>
              <w:tabs>
                <w:tab w:val="left" w:pos="540"/>
              </w:tabs>
              <w:spacing w:after="0" w:line="240" w:lineRule="auto"/>
              <w:ind w:left="1080" w:hanging="1080"/>
            </w:pPr>
            <w:r w:rsidRPr="00B440D4">
              <w:t>5†</w:t>
            </w:r>
          </w:p>
        </w:tc>
        <w:tc>
          <w:tcPr>
            <w:tcW w:w="8306" w:type="dxa"/>
          </w:tcPr>
          <w:p w14:paraId="60D0F2ED" w14:textId="77777777" w:rsidR="00D2643B" w:rsidRPr="00B440D4" w:rsidRDefault="00D2643B" w:rsidP="00B440D4">
            <w:pPr>
              <w:tabs>
                <w:tab w:val="left" w:pos="540"/>
              </w:tabs>
              <w:spacing w:after="0" w:line="240" w:lineRule="auto"/>
            </w:pPr>
            <w:r w:rsidRPr="00B440D4">
              <w:t>(a)</w:t>
            </w:r>
            <w:r w:rsidRPr="00B440D4">
              <w:tab/>
              <w:t>Statement of Changes in Equity, including dividends and share issues</w:t>
            </w:r>
          </w:p>
          <w:p w14:paraId="4B0466EC" w14:textId="77777777" w:rsidR="00D2643B" w:rsidRPr="00B440D4" w:rsidRDefault="00D2643B" w:rsidP="00B440D4">
            <w:pPr>
              <w:tabs>
                <w:tab w:val="left" w:pos="540"/>
              </w:tabs>
              <w:spacing w:after="0" w:line="240" w:lineRule="auto"/>
            </w:pPr>
            <w:r w:rsidRPr="00B440D4">
              <w:t>(b)</w:t>
            </w:r>
            <w:r w:rsidRPr="00B440D4">
              <w:tab/>
              <w:t>SORIE/OCI, not including them</w:t>
            </w:r>
          </w:p>
          <w:p w14:paraId="02ED455A" w14:textId="77777777" w:rsidR="00D2643B" w:rsidRPr="00B440D4" w:rsidRDefault="00D2643B" w:rsidP="00B440D4">
            <w:pPr>
              <w:tabs>
                <w:tab w:val="left" w:pos="540"/>
              </w:tabs>
              <w:spacing w:after="0" w:line="240" w:lineRule="auto"/>
            </w:pPr>
          </w:p>
        </w:tc>
      </w:tr>
      <w:tr w:rsidR="00D2643B" w:rsidRPr="00B440D4" w14:paraId="0A2E1143" w14:textId="77777777" w:rsidTr="00B440D4">
        <w:trPr>
          <w:trHeight w:val="276"/>
        </w:trPr>
        <w:tc>
          <w:tcPr>
            <w:tcW w:w="576" w:type="dxa"/>
          </w:tcPr>
          <w:p w14:paraId="4B57769F" w14:textId="77777777" w:rsidR="00D2643B" w:rsidRPr="00B440D4" w:rsidRDefault="00D2643B" w:rsidP="00B440D4">
            <w:pPr>
              <w:tabs>
                <w:tab w:val="left" w:pos="540"/>
              </w:tabs>
              <w:spacing w:after="0" w:line="240" w:lineRule="auto"/>
              <w:ind w:left="1080" w:hanging="1080"/>
            </w:pPr>
            <w:r w:rsidRPr="00B440D4">
              <w:t>6*</w:t>
            </w:r>
          </w:p>
        </w:tc>
        <w:tc>
          <w:tcPr>
            <w:tcW w:w="8306" w:type="dxa"/>
          </w:tcPr>
          <w:p w14:paraId="756E95DD" w14:textId="77777777" w:rsidR="00D2643B" w:rsidRPr="00B440D4" w:rsidRDefault="00D2643B" w:rsidP="00B440D4">
            <w:pPr>
              <w:tabs>
                <w:tab w:val="left" w:pos="540"/>
              </w:tabs>
              <w:spacing w:after="0" w:line="240" w:lineRule="auto"/>
            </w:pPr>
            <w:r w:rsidRPr="00B440D4">
              <w:t>(a)</w:t>
            </w:r>
            <w:r w:rsidRPr="00B440D4">
              <w:tab/>
              <w:t xml:space="preserve">direct calculation of operating cash flow </w:t>
            </w:r>
          </w:p>
          <w:p w14:paraId="2E7832E7" w14:textId="77777777" w:rsidR="00D2643B" w:rsidRPr="00B440D4" w:rsidRDefault="00D2643B" w:rsidP="00B440D4">
            <w:pPr>
              <w:tabs>
                <w:tab w:val="left" w:pos="540"/>
              </w:tabs>
              <w:spacing w:after="0" w:line="240" w:lineRule="auto"/>
            </w:pPr>
            <w:r w:rsidRPr="00B440D4">
              <w:t>(b)</w:t>
            </w:r>
            <w:r w:rsidRPr="00B440D4">
              <w:tab/>
              <w:t>indirect</w:t>
            </w:r>
          </w:p>
          <w:p w14:paraId="544585E2" w14:textId="77777777" w:rsidR="00D2643B" w:rsidRPr="00B440D4" w:rsidRDefault="00D2643B" w:rsidP="00B440D4">
            <w:pPr>
              <w:tabs>
                <w:tab w:val="left" w:pos="540"/>
              </w:tabs>
              <w:spacing w:after="0" w:line="240" w:lineRule="auto"/>
            </w:pPr>
          </w:p>
        </w:tc>
      </w:tr>
      <w:tr w:rsidR="00D2643B" w:rsidRPr="00B440D4" w14:paraId="41B051BC" w14:textId="77777777" w:rsidTr="00B440D4">
        <w:trPr>
          <w:trHeight w:val="276"/>
        </w:trPr>
        <w:tc>
          <w:tcPr>
            <w:tcW w:w="576" w:type="dxa"/>
          </w:tcPr>
          <w:p w14:paraId="2458E8DF" w14:textId="77777777" w:rsidR="00D2643B" w:rsidRPr="00B440D4" w:rsidRDefault="00D2643B" w:rsidP="00B440D4">
            <w:pPr>
              <w:tabs>
                <w:tab w:val="left" w:pos="540"/>
              </w:tabs>
              <w:spacing w:after="0" w:line="240" w:lineRule="auto"/>
              <w:ind w:left="1080" w:hanging="1080"/>
            </w:pPr>
            <w:r w:rsidRPr="00B440D4">
              <w:t>7*</w:t>
            </w:r>
          </w:p>
        </w:tc>
        <w:tc>
          <w:tcPr>
            <w:tcW w:w="8306" w:type="dxa"/>
          </w:tcPr>
          <w:p w14:paraId="01EA68F7" w14:textId="77777777" w:rsidR="00D2643B" w:rsidRPr="00B440D4" w:rsidRDefault="00D2643B" w:rsidP="00B440D4">
            <w:pPr>
              <w:tabs>
                <w:tab w:val="left" w:pos="540"/>
              </w:tabs>
              <w:spacing w:after="0" w:line="240" w:lineRule="auto"/>
            </w:pPr>
            <w:r w:rsidRPr="00B440D4">
              <w:t>(a)</w:t>
            </w:r>
            <w:r w:rsidRPr="00B440D4">
              <w:tab/>
              <w:t>interest paid shown as operating cash outflow</w:t>
            </w:r>
          </w:p>
          <w:p w14:paraId="18C976D1" w14:textId="77777777" w:rsidR="00D2643B" w:rsidRPr="00B440D4" w:rsidRDefault="00D2643B" w:rsidP="00B440D4">
            <w:pPr>
              <w:tabs>
                <w:tab w:val="left" w:pos="540"/>
              </w:tabs>
              <w:spacing w:after="0" w:line="240" w:lineRule="auto"/>
            </w:pPr>
            <w:r w:rsidRPr="00B440D4">
              <w:t>(b)</w:t>
            </w:r>
            <w:r w:rsidRPr="00B440D4">
              <w:tab/>
              <w:t>as financing</w:t>
            </w:r>
          </w:p>
          <w:p w14:paraId="03DFF46B" w14:textId="77777777" w:rsidR="00D2643B" w:rsidRPr="00B440D4" w:rsidRDefault="00D2643B" w:rsidP="00B440D4">
            <w:pPr>
              <w:tabs>
                <w:tab w:val="left" w:pos="540"/>
              </w:tabs>
              <w:spacing w:after="0" w:line="240" w:lineRule="auto"/>
            </w:pPr>
          </w:p>
        </w:tc>
      </w:tr>
      <w:tr w:rsidR="00D2643B" w:rsidRPr="00B440D4" w14:paraId="23FF8CA5" w14:textId="77777777" w:rsidTr="00B440D4">
        <w:trPr>
          <w:trHeight w:val="276"/>
        </w:trPr>
        <w:tc>
          <w:tcPr>
            <w:tcW w:w="576" w:type="dxa"/>
          </w:tcPr>
          <w:p w14:paraId="243C8139" w14:textId="77777777" w:rsidR="00D2643B" w:rsidRPr="00B440D4" w:rsidRDefault="00D2643B" w:rsidP="00B440D4">
            <w:pPr>
              <w:tabs>
                <w:tab w:val="left" w:pos="540"/>
              </w:tabs>
              <w:spacing w:after="0" w:line="240" w:lineRule="auto"/>
              <w:ind w:left="1080" w:hanging="1080"/>
            </w:pPr>
            <w:r w:rsidRPr="00B440D4">
              <w:t>8</w:t>
            </w:r>
          </w:p>
        </w:tc>
        <w:tc>
          <w:tcPr>
            <w:tcW w:w="8306" w:type="dxa"/>
          </w:tcPr>
          <w:p w14:paraId="40363F13" w14:textId="77777777" w:rsidR="00D2643B" w:rsidRPr="00B440D4" w:rsidRDefault="00D2643B" w:rsidP="00B440D4">
            <w:pPr>
              <w:tabs>
                <w:tab w:val="left" w:pos="540"/>
              </w:tabs>
              <w:spacing w:after="0" w:line="240" w:lineRule="auto"/>
            </w:pPr>
            <w:r w:rsidRPr="00B440D4">
              <w:t>(a)</w:t>
            </w:r>
            <w:r w:rsidRPr="00B440D4">
              <w:tab/>
              <w:t>only cost for PPE</w:t>
            </w:r>
          </w:p>
          <w:p w14:paraId="7C1E8DCC" w14:textId="77777777" w:rsidR="00D2643B" w:rsidRPr="00B440D4" w:rsidRDefault="00D2643B" w:rsidP="00B440D4">
            <w:pPr>
              <w:tabs>
                <w:tab w:val="left" w:pos="540"/>
              </w:tabs>
              <w:spacing w:after="0" w:line="240" w:lineRule="auto"/>
            </w:pPr>
            <w:r w:rsidRPr="00B440D4">
              <w:t>(b)</w:t>
            </w:r>
            <w:r w:rsidRPr="00B440D4">
              <w:tab/>
              <w:t>some fair value</w:t>
            </w:r>
          </w:p>
          <w:p w14:paraId="3B32B968" w14:textId="77777777" w:rsidR="00D2643B" w:rsidRPr="00B440D4" w:rsidRDefault="00D2643B" w:rsidP="00B440D4">
            <w:pPr>
              <w:tabs>
                <w:tab w:val="left" w:pos="540"/>
              </w:tabs>
              <w:spacing w:after="0" w:line="240" w:lineRule="auto"/>
            </w:pPr>
          </w:p>
        </w:tc>
      </w:tr>
      <w:tr w:rsidR="00D2643B" w:rsidRPr="00B440D4" w14:paraId="312A7E25" w14:textId="77777777" w:rsidTr="00B440D4">
        <w:trPr>
          <w:trHeight w:val="276"/>
        </w:trPr>
        <w:tc>
          <w:tcPr>
            <w:tcW w:w="576" w:type="dxa"/>
          </w:tcPr>
          <w:p w14:paraId="1DC362D2" w14:textId="77777777" w:rsidR="00D2643B" w:rsidRPr="00B440D4" w:rsidRDefault="00D2643B" w:rsidP="00B440D4">
            <w:pPr>
              <w:tabs>
                <w:tab w:val="left" w:pos="540"/>
              </w:tabs>
              <w:spacing w:after="0" w:line="240" w:lineRule="auto"/>
              <w:ind w:left="1080" w:hanging="1080"/>
            </w:pPr>
            <w:r w:rsidRPr="00B440D4">
              <w:t>9</w:t>
            </w:r>
          </w:p>
        </w:tc>
        <w:tc>
          <w:tcPr>
            <w:tcW w:w="8306" w:type="dxa"/>
          </w:tcPr>
          <w:p w14:paraId="6BB2D3B3" w14:textId="77777777" w:rsidR="00D2643B" w:rsidRPr="00B440D4" w:rsidRDefault="00D2643B" w:rsidP="00B440D4">
            <w:pPr>
              <w:tabs>
                <w:tab w:val="left" w:pos="540"/>
              </w:tabs>
              <w:spacing w:after="0" w:line="240" w:lineRule="auto"/>
            </w:pPr>
            <w:r w:rsidRPr="00B440D4">
              <w:t>(a)</w:t>
            </w:r>
            <w:r w:rsidRPr="00B440D4">
              <w:tab/>
              <w:t>investment property at cost</w:t>
            </w:r>
          </w:p>
          <w:p w14:paraId="467069D2" w14:textId="77777777" w:rsidR="00D2643B" w:rsidRPr="00B440D4" w:rsidRDefault="00D2643B" w:rsidP="00B440D4">
            <w:pPr>
              <w:tabs>
                <w:tab w:val="left" w:pos="540"/>
              </w:tabs>
              <w:spacing w:after="0" w:line="240" w:lineRule="auto"/>
            </w:pPr>
            <w:r w:rsidRPr="00B440D4">
              <w:t>(b)</w:t>
            </w:r>
            <w:r w:rsidRPr="00B440D4">
              <w:tab/>
              <w:t>at fair value</w:t>
            </w:r>
          </w:p>
          <w:p w14:paraId="6198776D" w14:textId="77777777" w:rsidR="00D2643B" w:rsidRPr="00B440D4" w:rsidRDefault="00D2643B" w:rsidP="00B440D4">
            <w:pPr>
              <w:tabs>
                <w:tab w:val="left" w:pos="540"/>
              </w:tabs>
              <w:spacing w:after="0" w:line="240" w:lineRule="auto"/>
            </w:pPr>
          </w:p>
        </w:tc>
      </w:tr>
      <w:tr w:rsidR="00D2643B" w:rsidRPr="00B440D4" w14:paraId="30F97B16" w14:textId="77777777" w:rsidTr="00B440D4">
        <w:trPr>
          <w:trHeight w:val="276"/>
        </w:trPr>
        <w:tc>
          <w:tcPr>
            <w:tcW w:w="576" w:type="dxa"/>
          </w:tcPr>
          <w:p w14:paraId="46361A59" w14:textId="77777777" w:rsidR="00D2643B" w:rsidRPr="00B440D4" w:rsidRDefault="00D2643B" w:rsidP="00B440D4">
            <w:pPr>
              <w:tabs>
                <w:tab w:val="left" w:pos="540"/>
              </w:tabs>
              <w:spacing w:after="0" w:line="240" w:lineRule="auto"/>
              <w:ind w:left="1080" w:hanging="1080"/>
            </w:pPr>
            <w:r w:rsidRPr="00B440D4">
              <w:t>10*</w:t>
            </w:r>
          </w:p>
        </w:tc>
        <w:tc>
          <w:tcPr>
            <w:tcW w:w="8306" w:type="dxa"/>
          </w:tcPr>
          <w:p w14:paraId="249D980F" w14:textId="77777777" w:rsidR="00D2643B" w:rsidRPr="00B440D4" w:rsidRDefault="00D2643B" w:rsidP="00B440D4">
            <w:pPr>
              <w:tabs>
                <w:tab w:val="left" w:pos="540"/>
              </w:tabs>
              <w:spacing w:after="0" w:line="240" w:lineRule="auto"/>
            </w:pPr>
            <w:r w:rsidRPr="00B440D4">
              <w:t>(a)</w:t>
            </w:r>
            <w:r w:rsidRPr="00B440D4">
              <w:tab/>
              <w:t>some designation of financial assets at fair value</w:t>
            </w:r>
          </w:p>
          <w:p w14:paraId="4CDF351D" w14:textId="77777777" w:rsidR="00D2643B" w:rsidRPr="00B440D4" w:rsidRDefault="00D2643B" w:rsidP="00B440D4">
            <w:pPr>
              <w:tabs>
                <w:tab w:val="left" w:pos="540"/>
              </w:tabs>
              <w:spacing w:after="0" w:line="240" w:lineRule="auto"/>
            </w:pPr>
            <w:r w:rsidRPr="00B440D4">
              <w:t>(b)</w:t>
            </w:r>
            <w:r w:rsidRPr="00B440D4">
              <w:tab/>
              <w:t>none</w:t>
            </w:r>
          </w:p>
          <w:p w14:paraId="2A05862F" w14:textId="77777777" w:rsidR="00D2643B" w:rsidRPr="00B440D4" w:rsidRDefault="00D2643B" w:rsidP="00B440D4">
            <w:pPr>
              <w:tabs>
                <w:tab w:val="left" w:pos="540"/>
              </w:tabs>
              <w:spacing w:after="0" w:line="240" w:lineRule="auto"/>
            </w:pPr>
          </w:p>
        </w:tc>
      </w:tr>
      <w:tr w:rsidR="00D2643B" w:rsidRPr="00B440D4" w14:paraId="40981D48" w14:textId="77777777" w:rsidTr="00B440D4">
        <w:trPr>
          <w:trHeight w:val="276"/>
        </w:trPr>
        <w:tc>
          <w:tcPr>
            <w:tcW w:w="576" w:type="dxa"/>
          </w:tcPr>
          <w:p w14:paraId="6DF3D5CE" w14:textId="77777777" w:rsidR="00D2643B" w:rsidRPr="00B440D4" w:rsidRDefault="00D2643B" w:rsidP="00B440D4">
            <w:pPr>
              <w:tabs>
                <w:tab w:val="left" w:pos="540"/>
              </w:tabs>
              <w:spacing w:after="0" w:line="240" w:lineRule="auto"/>
              <w:ind w:left="1080" w:hanging="1080"/>
            </w:pPr>
            <w:r w:rsidRPr="00B440D4">
              <w:t>11†</w:t>
            </w:r>
          </w:p>
        </w:tc>
        <w:tc>
          <w:tcPr>
            <w:tcW w:w="8306" w:type="dxa"/>
          </w:tcPr>
          <w:p w14:paraId="3E5E1F5F" w14:textId="77777777" w:rsidR="00D2643B" w:rsidRPr="00B440D4" w:rsidRDefault="00D2643B" w:rsidP="00B440D4">
            <w:pPr>
              <w:tabs>
                <w:tab w:val="left" w:pos="540"/>
              </w:tabs>
              <w:spacing w:after="0" w:line="240" w:lineRule="auto"/>
            </w:pPr>
            <w:r w:rsidRPr="00B440D4">
              <w:t>(a)</w:t>
            </w:r>
            <w:r w:rsidRPr="00B440D4">
              <w:tab/>
              <w:t>capitali</w:t>
            </w:r>
            <w:r>
              <w:t>s</w:t>
            </w:r>
            <w:r w:rsidRPr="00B440D4">
              <w:t>ation of interest on construction</w:t>
            </w:r>
          </w:p>
          <w:p w14:paraId="3BE649C4" w14:textId="77777777" w:rsidR="00D2643B" w:rsidRPr="00B440D4" w:rsidRDefault="00D2643B" w:rsidP="00B440D4">
            <w:pPr>
              <w:tabs>
                <w:tab w:val="left" w:pos="540"/>
              </w:tabs>
              <w:spacing w:after="0" w:line="240" w:lineRule="auto"/>
            </w:pPr>
            <w:r w:rsidRPr="00B440D4">
              <w:t>(b)</w:t>
            </w:r>
            <w:r w:rsidRPr="00B440D4">
              <w:tab/>
              <w:t>expensing</w:t>
            </w:r>
          </w:p>
          <w:p w14:paraId="0CA8BE45" w14:textId="77777777" w:rsidR="00D2643B" w:rsidRPr="00B440D4" w:rsidRDefault="00D2643B" w:rsidP="00B440D4">
            <w:pPr>
              <w:tabs>
                <w:tab w:val="left" w:pos="540"/>
              </w:tabs>
              <w:spacing w:after="0" w:line="240" w:lineRule="auto"/>
            </w:pPr>
          </w:p>
        </w:tc>
      </w:tr>
      <w:tr w:rsidR="00D2643B" w:rsidRPr="00B440D4" w14:paraId="73ABC7C8" w14:textId="77777777" w:rsidTr="00B440D4">
        <w:trPr>
          <w:trHeight w:val="276"/>
        </w:trPr>
        <w:tc>
          <w:tcPr>
            <w:tcW w:w="576" w:type="dxa"/>
          </w:tcPr>
          <w:p w14:paraId="26A8202F" w14:textId="77777777" w:rsidR="00D2643B" w:rsidRPr="00B440D4" w:rsidRDefault="00D2643B" w:rsidP="00B440D4">
            <w:pPr>
              <w:tabs>
                <w:tab w:val="left" w:pos="540"/>
              </w:tabs>
              <w:spacing w:after="0" w:line="240" w:lineRule="auto"/>
              <w:ind w:left="1080" w:hanging="1080"/>
            </w:pPr>
            <w:r w:rsidRPr="00B440D4">
              <w:t>12*</w:t>
            </w:r>
          </w:p>
        </w:tc>
        <w:tc>
          <w:tcPr>
            <w:tcW w:w="8306" w:type="dxa"/>
          </w:tcPr>
          <w:p w14:paraId="1AE77A6D" w14:textId="77777777" w:rsidR="00D2643B" w:rsidRPr="00B440D4" w:rsidRDefault="00D2643B" w:rsidP="00B440D4">
            <w:pPr>
              <w:tabs>
                <w:tab w:val="left" w:pos="540"/>
              </w:tabs>
              <w:spacing w:after="0" w:line="240" w:lineRule="auto"/>
            </w:pPr>
            <w:r w:rsidRPr="00B440D4">
              <w:t>(a)</w:t>
            </w:r>
            <w:r w:rsidRPr="00B440D4">
              <w:tab/>
              <w:t>FIFO for inventory cost</w:t>
            </w:r>
          </w:p>
          <w:p w14:paraId="3D5068C9" w14:textId="77777777" w:rsidR="00D2643B" w:rsidRPr="00B440D4" w:rsidRDefault="00D2643B" w:rsidP="00B440D4">
            <w:pPr>
              <w:tabs>
                <w:tab w:val="left" w:pos="540"/>
              </w:tabs>
              <w:spacing w:after="0" w:line="240" w:lineRule="auto"/>
            </w:pPr>
            <w:r w:rsidRPr="00B440D4">
              <w:t>(b)</w:t>
            </w:r>
            <w:r w:rsidRPr="00B440D4">
              <w:tab/>
              <w:t>weighted average</w:t>
            </w:r>
          </w:p>
          <w:p w14:paraId="50D0C1E8" w14:textId="77777777" w:rsidR="00D2643B" w:rsidRPr="00B440D4" w:rsidRDefault="00D2643B" w:rsidP="00B440D4">
            <w:pPr>
              <w:tabs>
                <w:tab w:val="left" w:pos="540"/>
              </w:tabs>
              <w:spacing w:after="0" w:line="240" w:lineRule="auto"/>
            </w:pPr>
          </w:p>
        </w:tc>
      </w:tr>
      <w:tr w:rsidR="00D2643B" w:rsidRPr="00B440D4" w14:paraId="0E9D0388" w14:textId="77777777" w:rsidTr="00B440D4">
        <w:trPr>
          <w:trHeight w:val="276"/>
        </w:trPr>
        <w:tc>
          <w:tcPr>
            <w:tcW w:w="576" w:type="dxa"/>
          </w:tcPr>
          <w:p w14:paraId="201C3014" w14:textId="77777777" w:rsidR="00D2643B" w:rsidRPr="00B440D4" w:rsidRDefault="00D2643B" w:rsidP="00B440D4">
            <w:pPr>
              <w:tabs>
                <w:tab w:val="left" w:pos="540"/>
              </w:tabs>
              <w:spacing w:after="0" w:line="240" w:lineRule="auto"/>
              <w:ind w:left="1080" w:hanging="1080"/>
            </w:pPr>
            <w:r w:rsidRPr="00B440D4">
              <w:t>13†</w:t>
            </w:r>
          </w:p>
        </w:tc>
        <w:tc>
          <w:tcPr>
            <w:tcW w:w="8306" w:type="dxa"/>
          </w:tcPr>
          <w:p w14:paraId="746D42CF" w14:textId="77777777" w:rsidR="00D2643B" w:rsidRPr="00B440D4" w:rsidRDefault="00D2643B" w:rsidP="00B440D4">
            <w:pPr>
              <w:tabs>
                <w:tab w:val="left" w:pos="540"/>
              </w:tabs>
              <w:spacing w:after="0" w:line="240" w:lineRule="auto"/>
            </w:pPr>
            <w:r w:rsidRPr="00B440D4">
              <w:t>(a)</w:t>
            </w:r>
            <w:r w:rsidRPr="00B440D4">
              <w:tab/>
              <w:t>actuarial gains and losses to OCI</w:t>
            </w:r>
          </w:p>
          <w:p w14:paraId="1EA8ED59" w14:textId="77777777" w:rsidR="00D2643B" w:rsidRPr="00B440D4" w:rsidRDefault="00D2643B" w:rsidP="00B440D4">
            <w:pPr>
              <w:tabs>
                <w:tab w:val="left" w:pos="540"/>
              </w:tabs>
              <w:spacing w:after="0" w:line="240" w:lineRule="auto"/>
            </w:pPr>
            <w:r w:rsidRPr="00B440D4">
              <w:t>(b)</w:t>
            </w:r>
            <w:r w:rsidRPr="00B440D4">
              <w:tab/>
              <w:t>to income in full</w:t>
            </w:r>
          </w:p>
          <w:p w14:paraId="51A62368" w14:textId="77777777" w:rsidR="00D2643B" w:rsidRPr="00B440D4" w:rsidRDefault="00D2643B" w:rsidP="00B440D4">
            <w:pPr>
              <w:tabs>
                <w:tab w:val="left" w:pos="540"/>
              </w:tabs>
              <w:spacing w:after="0" w:line="240" w:lineRule="auto"/>
            </w:pPr>
            <w:r w:rsidRPr="00B440D4">
              <w:t>(c)</w:t>
            </w:r>
            <w:r w:rsidRPr="00B440D4">
              <w:tab/>
              <w:t>corridor method</w:t>
            </w:r>
          </w:p>
          <w:p w14:paraId="6DA92FD6" w14:textId="77777777" w:rsidR="00D2643B" w:rsidRPr="00B440D4" w:rsidRDefault="00D2643B" w:rsidP="00B440D4">
            <w:pPr>
              <w:tabs>
                <w:tab w:val="left" w:pos="540"/>
              </w:tabs>
              <w:spacing w:after="0" w:line="240" w:lineRule="auto"/>
            </w:pPr>
          </w:p>
        </w:tc>
      </w:tr>
      <w:tr w:rsidR="00D2643B" w:rsidRPr="00B440D4" w14:paraId="3EF00803" w14:textId="77777777" w:rsidTr="00B440D4">
        <w:trPr>
          <w:trHeight w:val="276"/>
        </w:trPr>
        <w:tc>
          <w:tcPr>
            <w:tcW w:w="576" w:type="dxa"/>
          </w:tcPr>
          <w:p w14:paraId="389D2357" w14:textId="77777777" w:rsidR="00D2643B" w:rsidRPr="00B440D4" w:rsidRDefault="00D2643B" w:rsidP="00B440D4">
            <w:pPr>
              <w:tabs>
                <w:tab w:val="left" w:pos="540"/>
              </w:tabs>
              <w:spacing w:after="0" w:line="240" w:lineRule="auto"/>
              <w:ind w:left="1080" w:hanging="1080"/>
            </w:pPr>
            <w:r w:rsidRPr="00B440D4">
              <w:t>14†</w:t>
            </w:r>
          </w:p>
        </w:tc>
        <w:tc>
          <w:tcPr>
            <w:tcW w:w="8306" w:type="dxa"/>
          </w:tcPr>
          <w:p w14:paraId="7F619D83" w14:textId="77777777" w:rsidR="00D2643B" w:rsidRPr="00B440D4" w:rsidRDefault="00D2643B" w:rsidP="00B440D4">
            <w:pPr>
              <w:tabs>
                <w:tab w:val="left" w:pos="522"/>
              </w:tabs>
              <w:spacing w:after="0" w:line="240" w:lineRule="auto"/>
            </w:pPr>
            <w:r w:rsidRPr="00B440D4">
              <w:t>(a)</w:t>
            </w:r>
            <w:r w:rsidRPr="00B440D4">
              <w:tab/>
              <w:t>proportional consolidation of joint ventures</w:t>
            </w:r>
          </w:p>
          <w:p w14:paraId="5EE4B3C8" w14:textId="77777777" w:rsidR="00D2643B" w:rsidRPr="00B440D4" w:rsidRDefault="00D2643B" w:rsidP="00B440D4">
            <w:pPr>
              <w:tabs>
                <w:tab w:val="left" w:pos="522"/>
              </w:tabs>
              <w:spacing w:after="0" w:line="240" w:lineRule="auto"/>
            </w:pPr>
            <w:r w:rsidRPr="00B440D4">
              <w:t>(b)</w:t>
            </w:r>
            <w:r w:rsidRPr="00B440D4">
              <w:tab/>
              <w:t>equity method</w:t>
            </w:r>
          </w:p>
          <w:p w14:paraId="06D1EFFA" w14:textId="77777777" w:rsidR="00D2643B" w:rsidRPr="00B440D4" w:rsidRDefault="00D2643B" w:rsidP="00B440D4">
            <w:pPr>
              <w:tabs>
                <w:tab w:val="left" w:pos="522"/>
              </w:tabs>
              <w:spacing w:after="0" w:line="240" w:lineRule="auto"/>
            </w:pPr>
          </w:p>
        </w:tc>
      </w:tr>
      <w:tr w:rsidR="00D2643B" w:rsidRPr="00B440D4" w14:paraId="3C055B15" w14:textId="77777777" w:rsidTr="00B440D4">
        <w:trPr>
          <w:trHeight w:val="276"/>
        </w:trPr>
        <w:tc>
          <w:tcPr>
            <w:tcW w:w="8882" w:type="dxa"/>
            <w:gridSpan w:val="2"/>
            <w:tcBorders>
              <w:bottom w:val="single" w:sz="4" w:space="0" w:color="auto"/>
            </w:tcBorders>
          </w:tcPr>
          <w:p w14:paraId="19702BCA" w14:textId="77777777" w:rsidR="00D2643B" w:rsidRPr="00B440D4" w:rsidRDefault="00D2643B" w:rsidP="00B440D4">
            <w:pPr>
              <w:tabs>
                <w:tab w:val="left" w:pos="522"/>
              </w:tabs>
              <w:spacing w:after="0" w:line="240" w:lineRule="auto"/>
            </w:pPr>
            <w:r w:rsidRPr="00B440D4">
              <w:t>*Non-financial companies only.</w:t>
            </w:r>
          </w:p>
          <w:p w14:paraId="7F4CAFE8" w14:textId="77777777" w:rsidR="00D2643B" w:rsidRPr="00B440D4" w:rsidRDefault="00D2643B" w:rsidP="00B440D4">
            <w:pPr>
              <w:tabs>
                <w:tab w:val="left" w:pos="522"/>
              </w:tabs>
              <w:spacing w:after="0" w:line="240" w:lineRule="auto"/>
            </w:pPr>
            <w:r w:rsidRPr="00B440D4">
              <w:t>†Options removed for 2013 statements or before; see Table 3.</w:t>
            </w:r>
          </w:p>
        </w:tc>
      </w:tr>
    </w:tbl>
    <w:p w14:paraId="3483FB96" w14:textId="77777777" w:rsidR="00D2643B" w:rsidRDefault="00D2643B" w:rsidP="00037369">
      <w:pPr>
        <w:spacing w:line="480" w:lineRule="auto"/>
        <w:rPr>
          <w:b/>
        </w:rPr>
      </w:pPr>
    </w:p>
    <w:tbl>
      <w:tblPr>
        <w:tblW w:w="919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98"/>
        <w:gridCol w:w="8100"/>
      </w:tblGrid>
      <w:tr w:rsidR="00D2643B" w:rsidRPr="00B440D4" w14:paraId="266A44A6" w14:textId="77777777" w:rsidTr="006715EE">
        <w:tc>
          <w:tcPr>
            <w:tcW w:w="9198" w:type="dxa"/>
            <w:gridSpan w:val="2"/>
            <w:tcBorders>
              <w:top w:val="single" w:sz="4" w:space="0" w:color="auto"/>
            </w:tcBorders>
          </w:tcPr>
          <w:p w14:paraId="465783DB" w14:textId="77777777" w:rsidR="00D2643B" w:rsidRPr="00B440D4" w:rsidRDefault="00D2643B" w:rsidP="00B440D4">
            <w:pPr>
              <w:spacing w:before="240" w:after="240" w:line="240" w:lineRule="auto"/>
              <w:rPr>
                <w:b/>
              </w:rPr>
            </w:pPr>
            <w:r w:rsidRPr="00B440D4">
              <w:rPr>
                <w:b/>
              </w:rPr>
              <w:t>Table 5.  Examples of covert options or vague criteria in IFRS in 2013*</w:t>
            </w:r>
          </w:p>
        </w:tc>
      </w:tr>
      <w:tr w:rsidR="00D2643B" w:rsidRPr="00B440D4" w14:paraId="7F239DAC" w14:textId="77777777" w:rsidTr="006715EE">
        <w:tc>
          <w:tcPr>
            <w:tcW w:w="1098" w:type="dxa"/>
          </w:tcPr>
          <w:p w14:paraId="55D850D9" w14:textId="77777777" w:rsidR="00D2643B" w:rsidRPr="00B440D4" w:rsidRDefault="00D2643B" w:rsidP="00B440D4">
            <w:pPr>
              <w:spacing w:after="60" w:line="240" w:lineRule="auto"/>
            </w:pPr>
            <w:r w:rsidRPr="00B440D4">
              <w:t>IAS 1</w:t>
            </w:r>
          </w:p>
        </w:tc>
        <w:tc>
          <w:tcPr>
            <w:tcW w:w="8100" w:type="dxa"/>
          </w:tcPr>
          <w:p w14:paraId="66A265AD" w14:textId="77777777" w:rsidR="00D2643B" w:rsidRPr="00B440D4" w:rsidRDefault="00D2643B" w:rsidP="00B440D4">
            <w:pPr>
              <w:spacing w:after="60" w:line="240" w:lineRule="auto"/>
            </w:pPr>
            <w:r w:rsidRPr="00B440D4">
              <w:t>Departure from the requirements of IFRS when necessary to comply with the objective of financial statements (para. 19).</w:t>
            </w:r>
          </w:p>
        </w:tc>
      </w:tr>
      <w:tr w:rsidR="00D2643B" w:rsidRPr="00B440D4" w14:paraId="7595C8B5" w14:textId="77777777" w:rsidTr="006715EE">
        <w:tc>
          <w:tcPr>
            <w:tcW w:w="1098" w:type="dxa"/>
          </w:tcPr>
          <w:p w14:paraId="1464CB0B" w14:textId="77777777" w:rsidR="00D2643B" w:rsidRPr="00B440D4" w:rsidRDefault="00D2643B" w:rsidP="00B440D4">
            <w:pPr>
              <w:spacing w:after="60" w:line="240" w:lineRule="auto"/>
            </w:pPr>
            <w:r w:rsidRPr="00B440D4">
              <w:t>IAS 1</w:t>
            </w:r>
          </w:p>
        </w:tc>
        <w:tc>
          <w:tcPr>
            <w:tcW w:w="8100" w:type="dxa"/>
          </w:tcPr>
          <w:p w14:paraId="79CE2CB3" w14:textId="77777777" w:rsidR="00D2643B" w:rsidRPr="00B440D4" w:rsidRDefault="00D2643B" w:rsidP="00B440D4">
            <w:pPr>
              <w:spacing w:after="60" w:line="240" w:lineRule="auto"/>
            </w:pPr>
            <w:r w:rsidRPr="00B440D4">
              <w:t>Determination of whether a liability is current on the basis of expected date of settlement or purpose of holding (para. 60).</w:t>
            </w:r>
          </w:p>
        </w:tc>
      </w:tr>
      <w:tr w:rsidR="00D2643B" w:rsidRPr="00B440D4" w14:paraId="1EB4FDFC" w14:textId="77777777" w:rsidTr="006715EE">
        <w:tc>
          <w:tcPr>
            <w:tcW w:w="1098" w:type="dxa"/>
          </w:tcPr>
          <w:p w14:paraId="0E41C75C" w14:textId="77777777" w:rsidR="00D2643B" w:rsidRPr="00B440D4" w:rsidRDefault="00D2643B" w:rsidP="00B440D4">
            <w:pPr>
              <w:spacing w:after="60" w:line="240" w:lineRule="auto"/>
            </w:pPr>
            <w:r w:rsidRPr="00B440D4">
              <w:t>IAS 8</w:t>
            </w:r>
          </w:p>
        </w:tc>
        <w:tc>
          <w:tcPr>
            <w:tcW w:w="8100" w:type="dxa"/>
          </w:tcPr>
          <w:p w14:paraId="0C89D4CA" w14:textId="77777777" w:rsidR="00D2643B" w:rsidRPr="00B440D4" w:rsidRDefault="004D5A69" w:rsidP="00B440D4">
            <w:pPr>
              <w:spacing w:after="60" w:line="240" w:lineRule="auto"/>
            </w:pPr>
            <w:r>
              <w:t>D</w:t>
            </w:r>
            <w:r w:rsidR="00D2643B" w:rsidRPr="00B440D4">
              <w:t>etermination of materiality for various purposes (para. 5).</w:t>
            </w:r>
          </w:p>
        </w:tc>
      </w:tr>
      <w:tr w:rsidR="00D2643B" w:rsidRPr="00B440D4" w14:paraId="400EBEF0" w14:textId="77777777" w:rsidTr="006715EE">
        <w:tc>
          <w:tcPr>
            <w:tcW w:w="1098" w:type="dxa"/>
          </w:tcPr>
          <w:p w14:paraId="208073A8" w14:textId="77777777" w:rsidR="00D2643B" w:rsidRPr="00B440D4" w:rsidRDefault="00D2643B" w:rsidP="00B440D4">
            <w:pPr>
              <w:spacing w:after="60" w:line="240" w:lineRule="auto"/>
            </w:pPr>
            <w:r w:rsidRPr="00B440D4">
              <w:t>IAS 11</w:t>
            </w:r>
          </w:p>
        </w:tc>
        <w:tc>
          <w:tcPr>
            <w:tcW w:w="8100" w:type="dxa"/>
          </w:tcPr>
          <w:p w14:paraId="7AE1B5F7" w14:textId="77777777" w:rsidR="00D2643B" w:rsidRPr="00B440D4" w:rsidRDefault="00D2643B" w:rsidP="006715EE">
            <w:pPr>
              <w:spacing w:after="60" w:line="240" w:lineRule="auto"/>
            </w:pPr>
            <w:r w:rsidRPr="00B440D4">
              <w:t xml:space="preserve">Use of </w:t>
            </w:r>
            <w:r>
              <w:t>s</w:t>
            </w:r>
            <w:r w:rsidRPr="00B440D4">
              <w:t>tage of completion method</w:t>
            </w:r>
            <w:r>
              <w:t xml:space="preserve"> for construction</w:t>
            </w:r>
            <w:r w:rsidRPr="00B440D4">
              <w:t xml:space="preserve"> if contract</w:t>
            </w:r>
            <w:r>
              <w:t xml:space="preserve"> outcome</w:t>
            </w:r>
            <w:r w:rsidRPr="00B440D4">
              <w:t xml:space="preserve"> can be estimated reliably (para. 22).</w:t>
            </w:r>
          </w:p>
        </w:tc>
      </w:tr>
      <w:tr w:rsidR="00D2643B" w:rsidRPr="00B440D4" w14:paraId="0BBC25F1" w14:textId="77777777" w:rsidTr="006715EE">
        <w:tc>
          <w:tcPr>
            <w:tcW w:w="1098" w:type="dxa"/>
          </w:tcPr>
          <w:p w14:paraId="10BFE0EC" w14:textId="77777777" w:rsidR="00D2643B" w:rsidRPr="00B440D4" w:rsidRDefault="00D2643B" w:rsidP="00B440D4">
            <w:pPr>
              <w:spacing w:after="60" w:line="240" w:lineRule="auto"/>
            </w:pPr>
            <w:r w:rsidRPr="00B440D4">
              <w:t>IAS 12</w:t>
            </w:r>
          </w:p>
        </w:tc>
        <w:tc>
          <w:tcPr>
            <w:tcW w:w="8100" w:type="dxa"/>
          </w:tcPr>
          <w:p w14:paraId="2C246825" w14:textId="77777777" w:rsidR="00D2643B" w:rsidRPr="00B440D4" w:rsidRDefault="00D2643B" w:rsidP="00B440D4">
            <w:pPr>
              <w:spacing w:after="60" w:line="240" w:lineRule="auto"/>
            </w:pPr>
            <w:r w:rsidRPr="00B440D4">
              <w:t>Recognition of deferred tax asset for a loss carryforward only if future taxable profit is probable (para. 34).</w:t>
            </w:r>
          </w:p>
        </w:tc>
      </w:tr>
      <w:tr w:rsidR="00D2643B" w:rsidRPr="00B440D4" w14:paraId="5B013912" w14:textId="77777777" w:rsidTr="006715EE">
        <w:tc>
          <w:tcPr>
            <w:tcW w:w="1098" w:type="dxa"/>
          </w:tcPr>
          <w:p w14:paraId="4C084180" w14:textId="77777777" w:rsidR="00D2643B" w:rsidRPr="00B440D4" w:rsidRDefault="00D2643B" w:rsidP="00B440D4">
            <w:pPr>
              <w:spacing w:after="60" w:line="240" w:lineRule="auto"/>
            </w:pPr>
            <w:r w:rsidRPr="00B440D4">
              <w:t>IAS 12</w:t>
            </w:r>
          </w:p>
          <w:p w14:paraId="73C5B91E" w14:textId="77777777" w:rsidR="00D2643B" w:rsidRPr="00B440D4" w:rsidRDefault="00D2643B" w:rsidP="00B440D4">
            <w:pPr>
              <w:spacing w:after="60" w:line="240" w:lineRule="auto"/>
            </w:pPr>
          </w:p>
          <w:p w14:paraId="035BAA24" w14:textId="77777777" w:rsidR="00D2643B" w:rsidRPr="00B440D4" w:rsidRDefault="00D2643B" w:rsidP="00B440D4">
            <w:pPr>
              <w:spacing w:after="60" w:line="240" w:lineRule="auto"/>
            </w:pPr>
            <w:r w:rsidRPr="00B440D4">
              <w:t>IAS 16</w:t>
            </w:r>
          </w:p>
        </w:tc>
        <w:tc>
          <w:tcPr>
            <w:tcW w:w="8100" w:type="dxa"/>
          </w:tcPr>
          <w:p w14:paraId="6E9ACC77" w14:textId="77777777" w:rsidR="00D2643B" w:rsidRPr="00B440D4" w:rsidRDefault="00D2643B" w:rsidP="00B440D4">
            <w:pPr>
              <w:spacing w:after="60" w:line="240" w:lineRule="auto"/>
            </w:pPr>
            <w:r w:rsidRPr="00B440D4">
              <w:t>Recognition of deferred tax liability on unremitted profits from subsidiaries only if dividends are probable in the foreseeable future (para. 39).</w:t>
            </w:r>
          </w:p>
          <w:p w14:paraId="43A2E392" w14:textId="77777777" w:rsidR="00D2643B" w:rsidRPr="00B440D4" w:rsidRDefault="00D2643B" w:rsidP="00B440D4">
            <w:pPr>
              <w:spacing w:after="60" w:line="240" w:lineRule="auto"/>
            </w:pPr>
            <w:r w:rsidRPr="00B440D4">
              <w:t>Depreciation method (paras. 60 to 62).</w:t>
            </w:r>
          </w:p>
        </w:tc>
      </w:tr>
      <w:tr w:rsidR="00D2643B" w:rsidRPr="00B440D4" w14:paraId="713C1075" w14:textId="77777777" w:rsidTr="006715EE">
        <w:tc>
          <w:tcPr>
            <w:tcW w:w="1098" w:type="dxa"/>
          </w:tcPr>
          <w:p w14:paraId="58F749FE" w14:textId="77777777" w:rsidR="00D2643B" w:rsidRPr="00B440D4" w:rsidRDefault="00D2643B" w:rsidP="00B440D4">
            <w:pPr>
              <w:spacing w:after="60" w:line="240" w:lineRule="auto"/>
            </w:pPr>
            <w:r w:rsidRPr="00B440D4">
              <w:t>IAS 17</w:t>
            </w:r>
          </w:p>
        </w:tc>
        <w:tc>
          <w:tcPr>
            <w:tcW w:w="8100" w:type="dxa"/>
          </w:tcPr>
          <w:p w14:paraId="21DE890A" w14:textId="77777777" w:rsidR="00D2643B" w:rsidRPr="00B440D4" w:rsidRDefault="00D2643B" w:rsidP="00B440D4">
            <w:pPr>
              <w:spacing w:after="60" w:line="240" w:lineRule="auto"/>
            </w:pPr>
            <w:r w:rsidRPr="00B440D4">
              <w:t>Lease classification based on ‘substantially all the risks and rewards’ with no numerical criteria (para. 8).</w:t>
            </w:r>
          </w:p>
        </w:tc>
      </w:tr>
      <w:tr w:rsidR="00D2643B" w:rsidRPr="00B440D4" w14:paraId="6527A5EA" w14:textId="77777777" w:rsidTr="006715EE">
        <w:tc>
          <w:tcPr>
            <w:tcW w:w="1098" w:type="dxa"/>
          </w:tcPr>
          <w:p w14:paraId="285051D1" w14:textId="77777777" w:rsidR="00D2643B" w:rsidRPr="00B440D4" w:rsidRDefault="00D2643B" w:rsidP="00B440D4">
            <w:pPr>
              <w:spacing w:after="60" w:line="240" w:lineRule="auto"/>
            </w:pPr>
            <w:r>
              <w:t>IAS 18</w:t>
            </w:r>
          </w:p>
        </w:tc>
        <w:tc>
          <w:tcPr>
            <w:tcW w:w="8100" w:type="dxa"/>
          </w:tcPr>
          <w:p w14:paraId="2C5F7566" w14:textId="77777777" w:rsidR="00D2643B" w:rsidRPr="00B440D4" w:rsidRDefault="00D2643B" w:rsidP="00B440D4">
            <w:pPr>
              <w:spacing w:after="60" w:line="240" w:lineRule="auto"/>
            </w:pPr>
            <w:r>
              <w:t>Use of stage of completion method for services if contract outcome can be estimated reliably (para. 38).</w:t>
            </w:r>
          </w:p>
        </w:tc>
      </w:tr>
      <w:tr w:rsidR="00D2643B" w:rsidRPr="00B440D4" w14:paraId="72C9CC8B" w14:textId="77777777" w:rsidTr="006715EE">
        <w:tc>
          <w:tcPr>
            <w:tcW w:w="1098" w:type="dxa"/>
          </w:tcPr>
          <w:p w14:paraId="3D14F65F" w14:textId="77777777" w:rsidR="00D2643B" w:rsidRPr="00B440D4" w:rsidRDefault="00D2643B" w:rsidP="00B440D4">
            <w:pPr>
              <w:spacing w:after="60" w:line="240" w:lineRule="auto"/>
            </w:pPr>
            <w:r w:rsidRPr="00B440D4">
              <w:t>IAS 21</w:t>
            </w:r>
          </w:p>
        </w:tc>
        <w:tc>
          <w:tcPr>
            <w:tcW w:w="8100" w:type="dxa"/>
          </w:tcPr>
          <w:p w14:paraId="683C77B8" w14:textId="77777777" w:rsidR="00D2643B" w:rsidRPr="00B440D4" w:rsidRDefault="00D2643B" w:rsidP="00B440D4">
            <w:pPr>
              <w:spacing w:after="60" w:line="240" w:lineRule="auto"/>
            </w:pPr>
            <w:r w:rsidRPr="00B440D4">
              <w:t>Determination of functional currency based on a mixture of criteria (paras. 9 – 12).</w:t>
            </w:r>
          </w:p>
        </w:tc>
      </w:tr>
      <w:tr w:rsidR="00D2643B" w:rsidRPr="00B440D4" w14:paraId="5F0B1D85" w14:textId="77777777" w:rsidTr="006715EE">
        <w:tc>
          <w:tcPr>
            <w:tcW w:w="1098" w:type="dxa"/>
          </w:tcPr>
          <w:p w14:paraId="42B8F69E" w14:textId="77777777" w:rsidR="00D2643B" w:rsidRPr="00B440D4" w:rsidRDefault="00D2643B" w:rsidP="00B440D4">
            <w:pPr>
              <w:spacing w:after="60" w:line="240" w:lineRule="auto"/>
            </w:pPr>
            <w:r w:rsidRPr="00B440D4">
              <w:t>IAS 28</w:t>
            </w:r>
          </w:p>
        </w:tc>
        <w:tc>
          <w:tcPr>
            <w:tcW w:w="8100" w:type="dxa"/>
          </w:tcPr>
          <w:p w14:paraId="4CD9EAA2" w14:textId="77777777" w:rsidR="00D2643B" w:rsidRPr="00B440D4" w:rsidRDefault="00D2643B" w:rsidP="00B440D4">
            <w:pPr>
              <w:spacing w:after="60" w:line="240" w:lineRule="auto"/>
            </w:pPr>
            <w:r w:rsidRPr="00B440D4">
              <w:t>The identification of an associate on the basis of ‘significant influence’ (para. 2).</w:t>
            </w:r>
          </w:p>
        </w:tc>
      </w:tr>
      <w:tr w:rsidR="00D2643B" w:rsidRPr="00B440D4" w14:paraId="64D09310" w14:textId="77777777" w:rsidTr="006715EE">
        <w:tc>
          <w:tcPr>
            <w:tcW w:w="1098" w:type="dxa"/>
          </w:tcPr>
          <w:p w14:paraId="48785AE5" w14:textId="77777777" w:rsidR="00D2643B" w:rsidRPr="00B440D4" w:rsidRDefault="00D2643B" w:rsidP="00B440D4">
            <w:pPr>
              <w:spacing w:after="60" w:line="240" w:lineRule="auto"/>
            </w:pPr>
            <w:r w:rsidRPr="00B440D4">
              <w:t>IAS 32</w:t>
            </w:r>
          </w:p>
        </w:tc>
        <w:tc>
          <w:tcPr>
            <w:tcW w:w="8100" w:type="dxa"/>
          </w:tcPr>
          <w:p w14:paraId="4C43EC64" w14:textId="77777777" w:rsidR="00D2643B" w:rsidRPr="00B440D4" w:rsidRDefault="00D2643B" w:rsidP="00B440D4">
            <w:pPr>
              <w:spacing w:after="60" w:line="240" w:lineRule="auto"/>
            </w:pPr>
            <w:r w:rsidRPr="00B440D4">
              <w:t>Offsetting of financial asset and liability when there is intent to settle on a net basis (para. 42).</w:t>
            </w:r>
          </w:p>
        </w:tc>
      </w:tr>
      <w:tr w:rsidR="00D2643B" w:rsidRPr="00B440D4" w14:paraId="657670DF" w14:textId="77777777" w:rsidTr="006715EE">
        <w:tc>
          <w:tcPr>
            <w:tcW w:w="1098" w:type="dxa"/>
          </w:tcPr>
          <w:p w14:paraId="30A6CBBE" w14:textId="77777777" w:rsidR="00D2643B" w:rsidRPr="00B440D4" w:rsidRDefault="00D2643B" w:rsidP="00B440D4">
            <w:pPr>
              <w:spacing w:after="60" w:line="240" w:lineRule="auto"/>
            </w:pPr>
            <w:r w:rsidRPr="00B440D4">
              <w:t>IAS 36</w:t>
            </w:r>
          </w:p>
        </w:tc>
        <w:tc>
          <w:tcPr>
            <w:tcW w:w="8100" w:type="dxa"/>
          </w:tcPr>
          <w:p w14:paraId="09E30654" w14:textId="77777777" w:rsidR="00D2643B" w:rsidRPr="00B440D4" w:rsidRDefault="00D2643B" w:rsidP="00B440D4">
            <w:pPr>
              <w:spacing w:after="60" w:line="240" w:lineRule="auto"/>
            </w:pPr>
            <w:r w:rsidRPr="00B440D4">
              <w:t>Identification of an indication of impairment based on a mixture of criteria (paras. 12 – 14).</w:t>
            </w:r>
          </w:p>
        </w:tc>
      </w:tr>
      <w:tr w:rsidR="00D2643B" w:rsidRPr="00B440D4" w14:paraId="7444404C" w14:textId="77777777" w:rsidTr="006715EE">
        <w:tc>
          <w:tcPr>
            <w:tcW w:w="1098" w:type="dxa"/>
          </w:tcPr>
          <w:p w14:paraId="0BD5093C" w14:textId="77777777" w:rsidR="00D2643B" w:rsidRPr="00B440D4" w:rsidRDefault="00D2643B" w:rsidP="00B440D4">
            <w:pPr>
              <w:spacing w:after="60" w:line="240" w:lineRule="auto"/>
            </w:pPr>
            <w:r w:rsidRPr="00B440D4">
              <w:t>IAS 37</w:t>
            </w:r>
          </w:p>
        </w:tc>
        <w:tc>
          <w:tcPr>
            <w:tcW w:w="8100" w:type="dxa"/>
          </w:tcPr>
          <w:p w14:paraId="06CFFDB2" w14:textId="77777777" w:rsidR="00D2643B" w:rsidRPr="00B440D4" w:rsidRDefault="00D2643B" w:rsidP="00B440D4">
            <w:pPr>
              <w:spacing w:after="60" w:line="240" w:lineRule="auto"/>
            </w:pPr>
            <w:r w:rsidRPr="00B440D4">
              <w:t>Recognition of a provision ba</w:t>
            </w:r>
            <w:r w:rsidR="004D5A69">
              <w:t>sed on probability of outflow of</w:t>
            </w:r>
            <w:r w:rsidRPr="00B440D4">
              <w:t xml:space="preserve"> resources (para. 14).</w:t>
            </w:r>
          </w:p>
        </w:tc>
      </w:tr>
      <w:tr w:rsidR="00D2643B" w:rsidRPr="00B440D4" w14:paraId="6825D173" w14:textId="77777777" w:rsidTr="006715EE">
        <w:tc>
          <w:tcPr>
            <w:tcW w:w="1098" w:type="dxa"/>
          </w:tcPr>
          <w:p w14:paraId="79638B02" w14:textId="77777777" w:rsidR="00D2643B" w:rsidRPr="00B440D4" w:rsidRDefault="00D2643B" w:rsidP="00B440D4">
            <w:pPr>
              <w:spacing w:after="60" w:line="240" w:lineRule="auto"/>
            </w:pPr>
            <w:r w:rsidRPr="00B440D4">
              <w:t>IAS 38</w:t>
            </w:r>
          </w:p>
        </w:tc>
        <w:tc>
          <w:tcPr>
            <w:tcW w:w="8100" w:type="dxa"/>
          </w:tcPr>
          <w:p w14:paraId="7AD8BF0A" w14:textId="77777777" w:rsidR="00D2643B" w:rsidRPr="00B440D4" w:rsidRDefault="00D2643B" w:rsidP="00B440D4">
            <w:pPr>
              <w:spacing w:after="60" w:line="240" w:lineRule="auto"/>
            </w:pPr>
            <w:r w:rsidRPr="00B440D4">
              <w:t>Capitalisation of development costs when all of various criteria are met (para. 57).</w:t>
            </w:r>
          </w:p>
        </w:tc>
      </w:tr>
      <w:tr w:rsidR="00D2643B" w:rsidRPr="00B440D4" w14:paraId="67A194A0" w14:textId="77777777" w:rsidTr="006715EE">
        <w:tc>
          <w:tcPr>
            <w:tcW w:w="1098" w:type="dxa"/>
          </w:tcPr>
          <w:p w14:paraId="0DE11B7F" w14:textId="77777777" w:rsidR="00D2643B" w:rsidRPr="00B440D4" w:rsidRDefault="00D2643B" w:rsidP="00B440D4">
            <w:pPr>
              <w:spacing w:after="60" w:line="240" w:lineRule="auto"/>
            </w:pPr>
            <w:r w:rsidRPr="00B440D4">
              <w:t>IAS 38</w:t>
            </w:r>
          </w:p>
        </w:tc>
        <w:tc>
          <w:tcPr>
            <w:tcW w:w="8100" w:type="dxa"/>
          </w:tcPr>
          <w:p w14:paraId="0FE88E23" w14:textId="77777777" w:rsidR="00D2643B" w:rsidRPr="00B440D4" w:rsidRDefault="00D2643B" w:rsidP="00B440D4">
            <w:pPr>
              <w:spacing w:after="60" w:line="240" w:lineRule="auto"/>
            </w:pPr>
            <w:r w:rsidRPr="00B440D4">
              <w:t>Amortisation of intangible assets only if useful life is assessed as finite (para. 88).</w:t>
            </w:r>
          </w:p>
        </w:tc>
      </w:tr>
      <w:tr w:rsidR="00D2643B" w:rsidRPr="00B440D4" w14:paraId="3E9A2E38" w14:textId="77777777" w:rsidTr="006715EE">
        <w:tc>
          <w:tcPr>
            <w:tcW w:w="1098" w:type="dxa"/>
          </w:tcPr>
          <w:p w14:paraId="3CCFBC01" w14:textId="77777777" w:rsidR="00D2643B" w:rsidRPr="00B440D4" w:rsidRDefault="00D2643B" w:rsidP="00B440D4">
            <w:pPr>
              <w:spacing w:after="60" w:line="240" w:lineRule="auto"/>
            </w:pPr>
            <w:r w:rsidRPr="00B440D4">
              <w:t>IAS 39</w:t>
            </w:r>
          </w:p>
        </w:tc>
        <w:tc>
          <w:tcPr>
            <w:tcW w:w="8100" w:type="dxa"/>
          </w:tcPr>
          <w:p w14:paraId="086C5233" w14:textId="77777777" w:rsidR="00D2643B" w:rsidRPr="00B440D4" w:rsidRDefault="00D2643B" w:rsidP="00B440D4">
            <w:pPr>
              <w:spacing w:after="60" w:line="240" w:lineRule="auto"/>
            </w:pPr>
            <w:r w:rsidRPr="00B440D4">
              <w:t>Classification of financial assets based on intention to trade, hold-to-maturity or neither (para. 9).</w:t>
            </w:r>
          </w:p>
        </w:tc>
      </w:tr>
      <w:tr w:rsidR="00D2643B" w:rsidRPr="00B440D4" w14:paraId="262ABEAC" w14:textId="77777777" w:rsidTr="006715EE">
        <w:tc>
          <w:tcPr>
            <w:tcW w:w="1098" w:type="dxa"/>
          </w:tcPr>
          <w:p w14:paraId="3BEBDCF5" w14:textId="77777777" w:rsidR="00D2643B" w:rsidRPr="00B440D4" w:rsidRDefault="00D2643B" w:rsidP="00B440D4">
            <w:pPr>
              <w:spacing w:after="60" w:line="240" w:lineRule="auto"/>
            </w:pPr>
            <w:r w:rsidRPr="00B440D4">
              <w:t>IAS 39</w:t>
            </w:r>
          </w:p>
        </w:tc>
        <w:tc>
          <w:tcPr>
            <w:tcW w:w="8100" w:type="dxa"/>
          </w:tcPr>
          <w:p w14:paraId="628868D6" w14:textId="77777777" w:rsidR="00D2643B" w:rsidRPr="00B440D4" w:rsidRDefault="00D2643B" w:rsidP="00B440D4">
            <w:pPr>
              <w:spacing w:after="60" w:line="240" w:lineRule="auto"/>
            </w:pPr>
            <w:r w:rsidRPr="00B440D4">
              <w:t>Use of cost basis where equity instruments cannot be measured reliably (para. 46).</w:t>
            </w:r>
          </w:p>
        </w:tc>
      </w:tr>
      <w:tr w:rsidR="00D2643B" w:rsidRPr="00B440D4" w14:paraId="593C8385" w14:textId="77777777" w:rsidTr="006715EE">
        <w:tc>
          <w:tcPr>
            <w:tcW w:w="1098" w:type="dxa"/>
          </w:tcPr>
          <w:p w14:paraId="50E199A9" w14:textId="77777777" w:rsidR="00D2643B" w:rsidRPr="00B440D4" w:rsidRDefault="00D2643B" w:rsidP="00B440D4">
            <w:pPr>
              <w:spacing w:after="60" w:line="240" w:lineRule="auto"/>
            </w:pPr>
            <w:r w:rsidRPr="00B440D4">
              <w:t>IAS 39</w:t>
            </w:r>
          </w:p>
        </w:tc>
        <w:tc>
          <w:tcPr>
            <w:tcW w:w="8100" w:type="dxa"/>
          </w:tcPr>
          <w:p w14:paraId="79D0C5AD" w14:textId="77777777" w:rsidR="00D2643B" w:rsidRPr="00B440D4" w:rsidRDefault="00D2643B" w:rsidP="00B440D4">
            <w:pPr>
              <w:spacing w:after="60" w:line="240" w:lineRule="auto"/>
            </w:pPr>
            <w:r w:rsidRPr="00B440D4">
              <w:t>Estimation of hedge effectiveness as a condition for use of hedge accounting (para. 88).</w:t>
            </w:r>
          </w:p>
        </w:tc>
      </w:tr>
      <w:tr w:rsidR="00D2643B" w:rsidRPr="00B440D4" w14:paraId="484FB8A8" w14:textId="77777777" w:rsidTr="006715EE">
        <w:tc>
          <w:tcPr>
            <w:tcW w:w="1098" w:type="dxa"/>
          </w:tcPr>
          <w:p w14:paraId="018E60F5" w14:textId="77777777" w:rsidR="00D2643B" w:rsidRPr="00B440D4" w:rsidRDefault="00D2643B" w:rsidP="00B440D4">
            <w:pPr>
              <w:spacing w:after="60" w:line="240" w:lineRule="auto"/>
            </w:pPr>
            <w:r w:rsidRPr="00B440D4">
              <w:t>IAS 40</w:t>
            </w:r>
          </w:p>
        </w:tc>
        <w:tc>
          <w:tcPr>
            <w:tcW w:w="8100" w:type="dxa"/>
          </w:tcPr>
          <w:p w14:paraId="4E2A5019" w14:textId="77777777" w:rsidR="00D2643B" w:rsidRPr="00B440D4" w:rsidRDefault="00D2643B" w:rsidP="00B440D4">
            <w:pPr>
              <w:spacing w:after="60" w:line="240" w:lineRule="auto"/>
            </w:pPr>
            <w:r w:rsidRPr="00B440D4">
              <w:t>Use of cost basis, despite entity-wide choice of fair value, for an investment property whose fair value cannot be measured reliably (para. 53).</w:t>
            </w:r>
          </w:p>
        </w:tc>
      </w:tr>
      <w:tr w:rsidR="00D2643B" w:rsidRPr="00B440D4" w14:paraId="62E6FC0F" w14:textId="77777777" w:rsidTr="006715EE">
        <w:tc>
          <w:tcPr>
            <w:tcW w:w="1098" w:type="dxa"/>
          </w:tcPr>
          <w:p w14:paraId="356BE7B6" w14:textId="77777777" w:rsidR="00D2643B" w:rsidRPr="00B440D4" w:rsidRDefault="00D2643B" w:rsidP="00B440D4">
            <w:pPr>
              <w:spacing w:after="60" w:line="240" w:lineRule="auto"/>
            </w:pPr>
            <w:r w:rsidRPr="00B440D4">
              <w:t>IAS 41</w:t>
            </w:r>
          </w:p>
        </w:tc>
        <w:tc>
          <w:tcPr>
            <w:tcW w:w="8100" w:type="dxa"/>
          </w:tcPr>
          <w:p w14:paraId="07A5136D" w14:textId="77777777" w:rsidR="00D2643B" w:rsidRPr="00B440D4" w:rsidRDefault="00D2643B" w:rsidP="00B440D4">
            <w:pPr>
              <w:spacing w:after="60" w:line="240" w:lineRule="auto"/>
            </w:pPr>
            <w:r w:rsidRPr="00B440D4">
              <w:t>Use of cost basis for a biological asset whose fair value cannot be measured reliably (para. 30).</w:t>
            </w:r>
          </w:p>
        </w:tc>
      </w:tr>
      <w:tr w:rsidR="00D2643B" w:rsidRPr="00B440D4" w14:paraId="0399E46B" w14:textId="77777777" w:rsidTr="006715EE">
        <w:tc>
          <w:tcPr>
            <w:tcW w:w="1098" w:type="dxa"/>
          </w:tcPr>
          <w:p w14:paraId="5260C5E2" w14:textId="77777777" w:rsidR="00D2643B" w:rsidRPr="00B440D4" w:rsidRDefault="00D2643B" w:rsidP="00B440D4">
            <w:pPr>
              <w:spacing w:after="60" w:line="240" w:lineRule="auto"/>
            </w:pPr>
            <w:r w:rsidRPr="00B440D4">
              <w:t>IFRS 3</w:t>
            </w:r>
          </w:p>
        </w:tc>
        <w:tc>
          <w:tcPr>
            <w:tcW w:w="8100" w:type="dxa"/>
          </w:tcPr>
          <w:p w14:paraId="6594414C" w14:textId="77777777" w:rsidR="00D2643B" w:rsidRPr="00B440D4" w:rsidRDefault="00D2643B" w:rsidP="00B440D4">
            <w:pPr>
              <w:spacing w:after="60" w:line="240" w:lineRule="auto"/>
            </w:pPr>
            <w:r w:rsidRPr="00B440D4">
              <w:t>Identifying the acquirer in a business combination presented as a merger of equals (para. 20).</w:t>
            </w:r>
          </w:p>
        </w:tc>
      </w:tr>
      <w:tr w:rsidR="00D2643B" w:rsidRPr="00B440D4" w14:paraId="424702D0" w14:textId="77777777" w:rsidTr="006715EE">
        <w:tc>
          <w:tcPr>
            <w:tcW w:w="1098" w:type="dxa"/>
          </w:tcPr>
          <w:p w14:paraId="41DC8E40" w14:textId="77777777" w:rsidR="00D2643B" w:rsidRPr="00B440D4" w:rsidRDefault="00D2643B" w:rsidP="00B440D4">
            <w:pPr>
              <w:spacing w:after="60" w:line="240" w:lineRule="auto"/>
            </w:pPr>
            <w:r w:rsidRPr="00B440D4">
              <w:lastRenderedPageBreak/>
              <w:t>IFRS 5</w:t>
            </w:r>
          </w:p>
        </w:tc>
        <w:tc>
          <w:tcPr>
            <w:tcW w:w="8100" w:type="dxa"/>
          </w:tcPr>
          <w:p w14:paraId="4549FBA0" w14:textId="77777777" w:rsidR="00D2643B" w:rsidRPr="00B440D4" w:rsidRDefault="00D2643B" w:rsidP="00B440D4">
            <w:pPr>
              <w:spacing w:after="60" w:line="240" w:lineRule="auto"/>
            </w:pPr>
            <w:r w:rsidRPr="00B440D4">
              <w:t>Treatment of assets as held-for-sale if expected to be sold within one year (para. 8).</w:t>
            </w:r>
          </w:p>
        </w:tc>
      </w:tr>
      <w:tr w:rsidR="00D2643B" w:rsidRPr="00B440D4" w14:paraId="1ADDA205" w14:textId="77777777" w:rsidTr="006715EE">
        <w:tc>
          <w:tcPr>
            <w:tcW w:w="1098" w:type="dxa"/>
          </w:tcPr>
          <w:p w14:paraId="3943CFA9" w14:textId="77777777" w:rsidR="00D2643B" w:rsidRPr="00B440D4" w:rsidRDefault="00D2643B" w:rsidP="00B440D4">
            <w:pPr>
              <w:spacing w:after="60" w:line="240" w:lineRule="auto"/>
            </w:pPr>
            <w:r w:rsidRPr="00B440D4">
              <w:t>IFRS 8</w:t>
            </w:r>
          </w:p>
        </w:tc>
        <w:tc>
          <w:tcPr>
            <w:tcW w:w="8100" w:type="dxa"/>
          </w:tcPr>
          <w:p w14:paraId="79826806" w14:textId="77777777" w:rsidR="00D2643B" w:rsidRPr="00B440D4" w:rsidRDefault="00D2643B" w:rsidP="00B440D4">
            <w:pPr>
              <w:spacing w:after="60" w:line="240" w:lineRule="auto"/>
            </w:pPr>
            <w:r w:rsidRPr="00B440D4">
              <w:t>Identification of operating segments based on whether results are reviewed internally (para. 5).</w:t>
            </w:r>
          </w:p>
        </w:tc>
      </w:tr>
      <w:tr w:rsidR="00D2643B" w:rsidRPr="00B440D4" w14:paraId="1BE155D7" w14:textId="77777777" w:rsidTr="006715EE">
        <w:tc>
          <w:tcPr>
            <w:tcW w:w="1098" w:type="dxa"/>
          </w:tcPr>
          <w:p w14:paraId="439D6CC3" w14:textId="77777777" w:rsidR="00D2643B" w:rsidRPr="00B440D4" w:rsidRDefault="00D2643B" w:rsidP="00B440D4">
            <w:pPr>
              <w:spacing w:after="60" w:line="240" w:lineRule="auto"/>
            </w:pPr>
            <w:r w:rsidRPr="00B440D4">
              <w:t>IFRS 9</w:t>
            </w:r>
          </w:p>
        </w:tc>
        <w:tc>
          <w:tcPr>
            <w:tcW w:w="8100" w:type="dxa"/>
          </w:tcPr>
          <w:p w14:paraId="0962519B" w14:textId="77777777" w:rsidR="00D2643B" w:rsidRPr="00B440D4" w:rsidRDefault="00D2643B" w:rsidP="00B440D4">
            <w:pPr>
              <w:spacing w:after="60" w:line="240" w:lineRule="auto"/>
            </w:pPr>
            <w:r w:rsidRPr="00B440D4">
              <w:t>Classification of financial assets based on the entity’s business model (para. 4.1.1).</w:t>
            </w:r>
          </w:p>
        </w:tc>
      </w:tr>
      <w:tr w:rsidR="00D2643B" w:rsidRPr="00B440D4" w14:paraId="567F5C24" w14:textId="77777777" w:rsidTr="006715EE">
        <w:tc>
          <w:tcPr>
            <w:tcW w:w="1098" w:type="dxa"/>
          </w:tcPr>
          <w:p w14:paraId="2EA6EB3A" w14:textId="77777777" w:rsidR="00D2643B" w:rsidRPr="00B440D4" w:rsidRDefault="00D2643B" w:rsidP="00B440D4">
            <w:pPr>
              <w:spacing w:after="60" w:line="240" w:lineRule="auto"/>
            </w:pPr>
            <w:r w:rsidRPr="00B440D4">
              <w:t>IFRS 10</w:t>
            </w:r>
          </w:p>
        </w:tc>
        <w:tc>
          <w:tcPr>
            <w:tcW w:w="8100" w:type="dxa"/>
          </w:tcPr>
          <w:p w14:paraId="549AECE8" w14:textId="77777777" w:rsidR="00D2643B" w:rsidRPr="00B440D4" w:rsidRDefault="00D2643B" w:rsidP="00B440D4">
            <w:pPr>
              <w:spacing w:after="60" w:line="240" w:lineRule="auto"/>
            </w:pPr>
            <w:r w:rsidRPr="00B440D4">
              <w:t>Identification of a subsidiary based on assessing power over an investee (para. 17).</w:t>
            </w:r>
          </w:p>
        </w:tc>
      </w:tr>
      <w:tr w:rsidR="00D2643B" w:rsidRPr="00B440D4" w14:paraId="69E611F8" w14:textId="77777777" w:rsidTr="006715EE">
        <w:tc>
          <w:tcPr>
            <w:tcW w:w="1098" w:type="dxa"/>
          </w:tcPr>
          <w:p w14:paraId="6EFEC570" w14:textId="77777777" w:rsidR="00D2643B" w:rsidRPr="00B440D4" w:rsidRDefault="00D2643B" w:rsidP="00B440D4">
            <w:pPr>
              <w:spacing w:after="60" w:line="240" w:lineRule="auto"/>
            </w:pPr>
            <w:r w:rsidRPr="00B440D4">
              <w:t>IFRS 11</w:t>
            </w:r>
          </w:p>
        </w:tc>
        <w:tc>
          <w:tcPr>
            <w:tcW w:w="8100" w:type="dxa"/>
          </w:tcPr>
          <w:p w14:paraId="3EE95D43" w14:textId="77777777" w:rsidR="00D2643B" w:rsidRDefault="00D2643B" w:rsidP="00B440D4">
            <w:pPr>
              <w:spacing w:after="60" w:line="240" w:lineRule="auto"/>
            </w:pPr>
            <w:r w:rsidRPr="00B440D4">
              <w:t>Identification of a joint venture based on assessing relevant activities (para. 7).</w:t>
            </w:r>
          </w:p>
          <w:p w14:paraId="19ABABAF" w14:textId="77777777" w:rsidR="004D5A69" w:rsidRPr="00B440D4" w:rsidRDefault="004D5A69" w:rsidP="00B440D4">
            <w:pPr>
              <w:spacing w:after="60" w:line="240" w:lineRule="auto"/>
            </w:pPr>
          </w:p>
        </w:tc>
      </w:tr>
      <w:tr w:rsidR="00D2643B" w:rsidRPr="00B440D4" w14:paraId="18C74972" w14:textId="77777777" w:rsidTr="006715EE">
        <w:tc>
          <w:tcPr>
            <w:tcW w:w="9198" w:type="dxa"/>
            <w:gridSpan w:val="2"/>
            <w:tcBorders>
              <w:bottom w:val="single" w:sz="4" w:space="0" w:color="auto"/>
            </w:tcBorders>
          </w:tcPr>
          <w:p w14:paraId="3A4C362E" w14:textId="77777777" w:rsidR="00D2643B" w:rsidRPr="00B440D4" w:rsidRDefault="00D2643B" w:rsidP="00B440D4">
            <w:pPr>
              <w:spacing w:after="60" w:line="240" w:lineRule="auto"/>
              <w:ind w:left="270" w:hanging="270"/>
            </w:pPr>
            <w:r w:rsidRPr="00B440D4">
              <w:t>*  For accounting periods beginning on or after 1 January 2013.  Paragraph numbers as at 30 April 2012.</w:t>
            </w:r>
          </w:p>
        </w:tc>
      </w:tr>
    </w:tbl>
    <w:p w14:paraId="30595FE0" w14:textId="77777777" w:rsidR="00D2643B" w:rsidRDefault="00D2643B" w:rsidP="00402205">
      <w:pPr>
        <w:rPr>
          <w:b/>
        </w:rPr>
      </w:pPr>
    </w:p>
    <w:p w14:paraId="6FBFD676" w14:textId="77777777" w:rsidR="00D2643B" w:rsidRDefault="00D2643B" w:rsidP="00402205">
      <w:pPr>
        <w:rPr>
          <w:b/>
        </w:rPr>
      </w:pPr>
    </w:p>
    <w:p w14:paraId="2D934EA6" w14:textId="77777777" w:rsidR="00D2643B" w:rsidRDefault="00D2643B" w:rsidP="00402205">
      <w:pPr>
        <w:rPr>
          <w:b/>
        </w:rPr>
      </w:pPr>
    </w:p>
    <w:p w14:paraId="073D11CC" w14:textId="77777777" w:rsidR="00D2643B" w:rsidRDefault="00D2643B" w:rsidP="00402205">
      <w:pPr>
        <w:rPr>
          <w:b/>
        </w:rPr>
      </w:pPr>
    </w:p>
    <w:p w14:paraId="4CE06A45" w14:textId="77777777" w:rsidR="00D2643B" w:rsidRDefault="00D2643B" w:rsidP="00402205">
      <w:pPr>
        <w:rPr>
          <w:b/>
        </w:rPr>
      </w:pPr>
    </w:p>
    <w:p w14:paraId="5859A485" w14:textId="77777777" w:rsidR="00D2643B" w:rsidRDefault="00D2643B" w:rsidP="00402205">
      <w:pPr>
        <w:rPr>
          <w:b/>
        </w:rPr>
      </w:pPr>
    </w:p>
    <w:p w14:paraId="020958CA" w14:textId="77777777" w:rsidR="00D2643B" w:rsidRDefault="00D2643B" w:rsidP="00402205">
      <w:pPr>
        <w:rPr>
          <w:b/>
        </w:rPr>
      </w:pPr>
    </w:p>
    <w:p w14:paraId="3B9FE206" w14:textId="77777777" w:rsidR="00D2643B" w:rsidRDefault="00D2643B" w:rsidP="00402205">
      <w:pPr>
        <w:rPr>
          <w:b/>
        </w:rPr>
      </w:pPr>
    </w:p>
    <w:p w14:paraId="7FAED333" w14:textId="77777777" w:rsidR="00D2643B" w:rsidRDefault="00D2643B" w:rsidP="00402205">
      <w:pPr>
        <w:rPr>
          <w:b/>
        </w:rPr>
      </w:pPr>
    </w:p>
    <w:p w14:paraId="70E94642" w14:textId="77777777" w:rsidR="00D2643B" w:rsidRDefault="00D2643B" w:rsidP="00402205">
      <w:pPr>
        <w:rPr>
          <w:b/>
        </w:rPr>
      </w:pPr>
    </w:p>
    <w:p w14:paraId="40394032" w14:textId="77777777" w:rsidR="00D2643B" w:rsidRDefault="00D2643B" w:rsidP="00402205">
      <w:pPr>
        <w:rPr>
          <w:b/>
        </w:rPr>
      </w:pPr>
    </w:p>
    <w:p w14:paraId="6F609F7E" w14:textId="77777777" w:rsidR="00D2643B" w:rsidRDefault="00D2643B" w:rsidP="00402205">
      <w:pPr>
        <w:rPr>
          <w:b/>
        </w:rPr>
      </w:pPr>
    </w:p>
    <w:p w14:paraId="68D3A31A" w14:textId="77777777" w:rsidR="00D2643B" w:rsidRDefault="00D2643B" w:rsidP="00402205">
      <w:pPr>
        <w:rPr>
          <w:b/>
        </w:rPr>
      </w:pPr>
    </w:p>
    <w:p w14:paraId="1A24FFE1" w14:textId="77777777" w:rsidR="00D2643B" w:rsidRDefault="00D2643B" w:rsidP="00402205">
      <w:pPr>
        <w:rPr>
          <w:b/>
        </w:rPr>
      </w:pPr>
    </w:p>
    <w:p w14:paraId="18790FA4" w14:textId="77777777" w:rsidR="00D2643B" w:rsidRDefault="00D2643B" w:rsidP="00402205">
      <w:pPr>
        <w:rPr>
          <w:b/>
        </w:rPr>
      </w:pPr>
    </w:p>
    <w:p w14:paraId="7759C331" w14:textId="77777777" w:rsidR="00D2643B" w:rsidRDefault="00D2643B" w:rsidP="00402205">
      <w:pPr>
        <w:rPr>
          <w:b/>
        </w:rPr>
      </w:pPr>
    </w:p>
    <w:p w14:paraId="49A22CFB" w14:textId="77777777" w:rsidR="00D2643B" w:rsidRDefault="00D2643B" w:rsidP="00402205">
      <w:pPr>
        <w:rPr>
          <w:b/>
        </w:rPr>
      </w:pPr>
    </w:p>
    <w:p w14:paraId="6DA46E86" w14:textId="77777777" w:rsidR="00D2643B" w:rsidRDefault="00D2643B" w:rsidP="00402205">
      <w:pPr>
        <w:rPr>
          <w:b/>
        </w:rPr>
      </w:pPr>
    </w:p>
    <w:p w14:paraId="5831069C" w14:textId="77777777" w:rsidR="00D2643B" w:rsidRDefault="00D2643B" w:rsidP="00402205">
      <w:pPr>
        <w:rPr>
          <w:b/>
        </w:rPr>
      </w:pPr>
    </w:p>
    <w:p w14:paraId="6BD7794B" w14:textId="77777777" w:rsidR="00D2643B" w:rsidRDefault="00D2643B" w:rsidP="00402205">
      <w:pPr>
        <w:rPr>
          <w:b/>
        </w:rPr>
      </w:pPr>
    </w:p>
    <w:p w14:paraId="44551E4B" w14:textId="77777777" w:rsidR="00D2643B" w:rsidRDefault="00D2643B" w:rsidP="00402205">
      <w:pPr>
        <w:rPr>
          <w:b/>
        </w:rPr>
      </w:pPr>
    </w:p>
    <w:p w14:paraId="1077FA64" w14:textId="77777777" w:rsidR="00D2643B" w:rsidRDefault="00D2643B" w:rsidP="00402205">
      <w:pPr>
        <w:rPr>
          <w:b/>
        </w:rPr>
      </w:pPr>
    </w:p>
    <w:p w14:paraId="65CD8B51" w14:textId="77777777" w:rsidR="00D2643B" w:rsidRPr="004F6D6C" w:rsidRDefault="00D2643B" w:rsidP="00402205">
      <w:pPr>
        <w:rPr>
          <w:b/>
        </w:rPr>
      </w:pPr>
    </w:p>
    <w:tbl>
      <w:tblPr>
        <w:tblW w:w="973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268"/>
        <w:gridCol w:w="990"/>
        <w:gridCol w:w="900"/>
        <w:gridCol w:w="810"/>
        <w:gridCol w:w="990"/>
        <w:gridCol w:w="810"/>
        <w:gridCol w:w="720"/>
        <w:gridCol w:w="630"/>
        <w:gridCol w:w="720"/>
        <w:gridCol w:w="900"/>
      </w:tblGrid>
      <w:tr w:rsidR="00D2643B" w:rsidRPr="00B440D4" w14:paraId="10A515BC" w14:textId="77777777" w:rsidTr="0032548A">
        <w:trPr>
          <w:trHeight w:val="255"/>
        </w:trPr>
        <w:tc>
          <w:tcPr>
            <w:tcW w:w="9738" w:type="dxa"/>
            <w:gridSpan w:val="10"/>
            <w:tcBorders>
              <w:top w:val="single" w:sz="4" w:space="0" w:color="auto"/>
            </w:tcBorders>
          </w:tcPr>
          <w:p w14:paraId="19669D16" w14:textId="77777777" w:rsidR="00D2643B" w:rsidRPr="00B440D4" w:rsidRDefault="00D2643B" w:rsidP="00402205">
            <w:pPr>
              <w:spacing w:before="120" w:line="240" w:lineRule="auto"/>
              <w:rPr>
                <w:lang w:eastAsia="nb-NO"/>
              </w:rPr>
            </w:pPr>
            <w:r w:rsidRPr="00B440D4">
              <w:rPr>
                <w:b/>
              </w:rPr>
              <w:t>Table 6.  Country and sector* distribution of companies, 2008/9 data (Canada, 2011)</w:t>
            </w:r>
          </w:p>
        </w:tc>
      </w:tr>
      <w:tr w:rsidR="00D2643B" w:rsidRPr="00B440D4" w14:paraId="6BCA340B" w14:textId="77777777" w:rsidTr="0032548A">
        <w:trPr>
          <w:trHeight w:val="255"/>
        </w:trPr>
        <w:tc>
          <w:tcPr>
            <w:tcW w:w="2268" w:type="dxa"/>
            <w:noWrap/>
          </w:tcPr>
          <w:p w14:paraId="283F7E60" w14:textId="77777777" w:rsidR="00D2643B" w:rsidRPr="00B440D4" w:rsidRDefault="00D2643B" w:rsidP="00402205">
            <w:pPr>
              <w:spacing w:line="240" w:lineRule="auto"/>
              <w:rPr>
                <w:lang w:eastAsia="nb-NO"/>
              </w:rPr>
            </w:pPr>
          </w:p>
        </w:tc>
        <w:tc>
          <w:tcPr>
            <w:tcW w:w="990" w:type="dxa"/>
            <w:noWrap/>
          </w:tcPr>
          <w:p w14:paraId="26E001BE" w14:textId="77777777" w:rsidR="00D2643B" w:rsidRPr="00B440D4" w:rsidRDefault="00D2643B" w:rsidP="00402205">
            <w:pPr>
              <w:spacing w:line="240" w:lineRule="auto"/>
              <w:jc w:val="center"/>
              <w:rPr>
                <w:sz w:val="20"/>
                <w:szCs w:val="20"/>
                <w:lang w:eastAsia="nb-NO"/>
              </w:rPr>
            </w:pPr>
            <w:r w:rsidRPr="00B440D4">
              <w:rPr>
                <w:sz w:val="20"/>
                <w:szCs w:val="20"/>
                <w:lang w:eastAsia="nb-NO"/>
              </w:rPr>
              <w:t>Australia</w:t>
            </w:r>
          </w:p>
        </w:tc>
        <w:tc>
          <w:tcPr>
            <w:tcW w:w="900" w:type="dxa"/>
          </w:tcPr>
          <w:p w14:paraId="7AAF99D5" w14:textId="77777777" w:rsidR="00D2643B" w:rsidRPr="00B440D4" w:rsidRDefault="00D2643B" w:rsidP="00402205">
            <w:pPr>
              <w:spacing w:line="240" w:lineRule="auto"/>
              <w:jc w:val="center"/>
              <w:rPr>
                <w:sz w:val="20"/>
                <w:szCs w:val="20"/>
                <w:lang w:eastAsia="nb-NO"/>
              </w:rPr>
            </w:pPr>
            <w:r w:rsidRPr="00B440D4">
              <w:rPr>
                <w:sz w:val="20"/>
                <w:szCs w:val="20"/>
                <w:lang w:eastAsia="nb-NO"/>
              </w:rPr>
              <w:t>Canada</w:t>
            </w:r>
          </w:p>
        </w:tc>
        <w:tc>
          <w:tcPr>
            <w:tcW w:w="810" w:type="dxa"/>
            <w:noWrap/>
          </w:tcPr>
          <w:p w14:paraId="3DAD68FB" w14:textId="77777777" w:rsidR="00D2643B" w:rsidRPr="00B440D4" w:rsidRDefault="00D2643B" w:rsidP="00402205">
            <w:pPr>
              <w:spacing w:line="240" w:lineRule="auto"/>
              <w:jc w:val="center"/>
              <w:rPr>
                <w:sz w:val="20"/>
                <w:szCs w:val="20"/>
                <w:lang w:eastAsia="nb-NO"/>
              </w:rPr>
            </w:pPr>
            <w:r w:rsidRPr="00B440D4">
              <w:rPr>
                <w:sz w:val="20"/>
                <w:szCs w:val="20"/>
                <w:lang w:eastAsia="nb-NO"/>
              </w:rPr>
              <w:t>UK</w:t>
            </w:r>
          </w:p>
        </w:tc>
        <w:tc>
          <w:tcPr>
            <w:tcW w:w="990" w:type="dxa"/>
          </w:tcPr>
          <w:p w14:paraId="40A12E8A" w14:textId="77777777" w:rsidR="00D2643B" w:rsidRPr="00B440D4" w:rsidRDefault="00D2643B" w:rsidP="00402205">
            <w:pPr>
              <w:spacing w:line="240" w:lineRule="auto"/>
              <w:jc w:val="center"/>
              <w:rPr>
                <w:sz w:val="20"/>
                <w:szCs w:val="20"/>
                <w:lang w:eastAsia="nb-NO"/>
              </w:rPr>
            </w:pPr>
            <w:r w:rsidRPr="00B440D4">
              <w:rPr>
                <w:sz w:val="20"/>
                <w:szCs w:val="20"/>
                <w:lang w:eastAsia="nb-NO"/>
              </w:rPr>
              <w:t>Germany</w:t>
            </w:r>
          </w:p>
        </w:tc>
        <w:tc>
          <w:tcPr>
            <w:tcW w:w="810" w:type="dxa"/>
            <w:noWrap/>
          </w:tcPr>
          <w:p w14:paraId="0283374F" w14:textId="77777777" w:rsidR="00D2643B" w:rsidRPr="00B440D4" w:rsidRDefault="00D2643B" w:rsidP="00402205">
            <w:pPr>
              <w:spacing w:line="240" w:lineRule="auto"/>
              <w:jc w:val="center"/>
              <w:rPr>
                <w:sz w:val="20"/>
                <w:szCs w:val="20"/>
                <w:lang w:eastAsia="nb-NO"/>
              </w:rPr>
            </w:pPr>
            <w:r w:rsidRPr="00B440D4">
              <w:rPr>
                <w:sz w:val="20"/>
                <w:szCs w:val="20"/>
                <w:lang w:eastAsia="nb-NO"/>
              </w:rPr>
              <w:t>France</w:t>
            </w:r>
          </w:p>
        </w:tc>
        <w:tc>
          <w:tcPr>
            <w:tcW w:w="720" w:type="dxa"/>
            <w:noWrap/>
          </w:tcPr>
          <w:p w14:paraId="7EED76A3" w14:textId="77777777" w:rsidR="00D2643B" w:rsidRPr="00B440D4" w:rsidRDefault="00D2643B" w:rsidP="00402205">
            <w:pPr>
              <w:spacing w:line="240" w:lineRule="auto"/>
              <w:jc w:val="center"/>
              <w:rPr>
                <w:sz w:val="20"/>
                <w:szCs w:val="20"/>
                <w:lang w:eastAsia="nb-NO"/>
              </w:rPr>
            </w:pPr>
            <w:r w:rsidRPr="00B440D4">
              <w:rPr>
                <w:sz w:val="20"/>
                <w:szCs w:val="20"/>
                <w:lang w:eastAsia="nb-NO"/>
              </w:rPr>
              <w:t>Spain</w:t>
            </w:r>
          </w:p>
        </w:tc>
        <w:tc>
          <w:tcPr>
            <w:tcW w:w="630" w:type="dxa"/>
          </w:tcPr>
          <w:p w14:paraId="76ED3A1C" w14:textId="77777777" w:rsidR="00D2643B" w:rsidRPr="00B440D4" w:rsidRDefault="00D2643B" w:rsidP="00402205">
            <w:pPr>
              <w:spacing w:line="240" w:lineRule="auto"/>
              <w:jc w:val="center"/>
              <w:rPr>
                <w:sz w:val="20"/>
                <w:szCs w:val="20"/>
                <w:lang w:eastAsia="nb-NO"/>
              </w:rPr>
            </w:pPr>
            <w:r w:rsidRPr="00B440D4">
              <w:rPr>
                <w:sz w:val="20"/>
                <w:szCs w:val="20"/>
                <w:lang w:eastAsia="nb-NO"/>
              </w:rPr>
              <w:t>NL</w:t>
            </w:r>
          </w:p>
        </w:tc>
        <w:tc>
          <w:tcPr>
            <w:tcW w:w="720" w:type="dxa"/>
          </w:tcPr>
          <w:p w14:paraId="05DB2E80" w14:textId="77777777" w:rsidR="00D2643B" w:rsidRPr="00B440D4" w:rsidRDefault="00D2643B" w:rsidP="00402205">
            <w:pPr>
              <w:spacing w:line="240" w:lineRule="auto"/>
              <w:jc w:val="center"/>
              <w:rPr>
                <w:sz w:val="20"/>
                <w:szCs w:val="20"/>
                <w:lang w:eastAsia="nb-NO"/>
              </w:rPr>
            </w:pPr>
            <w:r w:rsidRPr="00B440D4">
              <w:rPr>
                <w:sz w:val="20"/>
                <w:szCs w:val="20"/>
                <w:lang w:eastAsia="nb-NO"/>
              </w:rPr>
              <w:t>Italy</w:t>
            </w:r>
          </w:p>
        </w:tc>
        <w:tc>
          <w:tcPr>
            <w:tcW w:w="900" w:type="dxa"/>
          </w:tcPr>
          <w:p w14:paraId="44938E63" w14:textId="77777777" w:rsidR="00D2643B" w:rsidRPr="00B440D4" w:rsidRDefault="00D2643B" w:rsidP="00402205">
            <w:pPr>
              <w:spacing w:line="240" w:lineRule="auto"/>
              <w:jc w:val="center"/>
              <w:rPr>
                <w:sz w:val="20"/>
                <w:szCs w:val="20"/>
                <w:lang w:eastAsia="nb-NO"/>
              </w:rPr>
            </w:pPr>
            <w:r w:rsidRPr="00B440D4">
              <w:rPr>
                <w:sz w:val="20"/>
                <w:szCs w:val="20"/>
                <w:lang w:eastAsia="nb-NO"/>
              </w:rPr>
              <w:t>Sweden</w:t>
            </w:r>
          </w:p>
        </w:tc>
      </w:tr>
      <w:tr w:rsidR="00D2643B" w:rsidRPr="00B440D4" w14:paraId="41216FC7" w14:textId="77777777" w:rsidTr="0032548A">
        <w:trPr>
          <w:trHeight w:val="255"/>
        </w:trPr>
        <w:tc>
          <w:tcPr>
            <w:tcW w:w="2268" w:type="dxa"/>
            <w:noWrap/>
          </w:tcPr>
          <w:p w14:paraId="473B8028" w14:textId="77777777" w:rsidR="00D2643B" w:rsidRPr="00B440D4" w:rsidRDefault="00D2643B" w:rsidP="00402205">
            <w:pPr>
              <w:spacing w:before="60" w:after="60" w:line="240" w:lineRule="auto"/>
              <w:rPr>
                <w:lang w:eastAsia="nb-NO"/>
              </w:rPr>
            </w:pPr>
            <w:r w:rsidRPr="00B440D4">
              <w:rPr>
                <w:sz w:val="22"/>
                <w:szCs w:val="22"/>
                <w:lang w:eastAsia="nb-NO"/>
              </w:rPr>
              <w:t>0 Oil and gas</w:t>
            </w:r>
          </w:p>
        </w:tc>
        <w:tc>
          <w:tcPr>
            <w:tcW w:w="990" w:type="dxa"/>
            <w:noWrap/>
          </w:tcPr>
          <w:p w14:paraId="50B0699A" w14:textId="77777777" w:rsidR="00D2643B" w:rsidRPr="00B440D4" w:rsidRDefault="00D2643B" w:rsidP="00402205">
            <w:pPr>
              <w:spacing w:before="60" w:after="60" w:line="240" w:lineRule="auto"/>
              <w:jc w:val="center"/>
              <w:rPr>
                <w:lang w:eastAsia="nb-NO"/>
              </w:rPr>
            </w:pPr>
            <w:r w:rsidRPr="00B440D4">
              <w:rPr>
                <w:sz w:val="22"/>
                <w:szCs w:val="22"/>
                <w:lang w:eastAsia="nb-NO"/>
              </w:rPr>
              <w:t>3</w:t>
            </w:r>
          </w:p>
        </w:tc>
        <w:tc>
          <w:tcPr>
            <w:tcW w:w="900" w:type="dxa"/>
          </w:tcPr>
          <w:p w14:paraId="1AD02871" w14:textId="77777777" w:rsidR="00D2643B" w:rsidRPr="00B440D4" w:rsidRDefault="00D2643B" w:rsidP="00402205">
            <w:pPr>
              <w:spacing w:before="60" w:after="60" w:line="240" w:lineRule="auto"/>
              <w:jc w:val="center"/>
              <w:rPr>
                <w:lang w:eastAsia="nb-NO"/>
              </w:rPr>
            </w:pPr>
            <w:r w:rsidRPr="00B440D4">
              <w:rPr>
                <w:sz w:val="22"/>
                <w:szCs w:val="22"/>
                <w:lang w:eastAsia="nb-NO"/>
              </w:rPr>
              <w:t>2</w:t>
            </w:r>
          </w:p>
        </w:tc>
        <w:tc>
          <w:tcPr>
            <w:tcW w:w="810" w:type="dxa"/>
            <w:noWrap/>
          </w:tcPr>
          <w:p w14:paraId="3EAC3551" w14:textId="77777777" w:rsidR="00D2643B" w:rsidRPr="00B440D4" w:rsidRDefault="00D2643B" w:rsidP="00402205">
            <w:pPr>
              <w:spacing w:before="60" w:after="60" w:line="240" w:lineRule="auto"/>
              <w:jc w:val="center"/>
              <w:rPr>
                <w:lang w:eastAsia="nb-NO"/>
              </w:rPr>
            </w:pPr>
            <w:r w:rsidRPr="00B440D4">
              <w:rPr>
                <w:sz w:val="22"/>
                <w:szCs w:val="22"/>
                <w:lang w:eastAsia="nb-NO"/>
              </w:rPr>
              <w:t>4</w:t>
            </w:r>
          </w:p>
        </w:tc>
        <w:tc>
          <w:tcPr>
            <w:tcW w:w="990" w:type="dxa"/>
          </w:tcPr>
          <w:p w14:paraId="6F863C17"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c>
          <w:tcPr>
            <w:tcW w:w="810" w:type="dxa"/>
            <w:noWrap/>
          </w:tcPr>
          <w:p w14:paraId="0BBC2C21"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720" w:type="dxa"/>
            <w:noWrap/>
          </w:tcPr>
          <w:p w14:paraId="4CF5A582"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630" w:type="dxa"/>
          </w:tcPr>
          <w:p w14:paraId="06DB5CEC"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720" w:type="dxa"/>
          </w:tcPr>
          <w:p w14:paraId="28888468" w14:textId="77777777" w:rsidR="00D2643B" w:rsidRPr="00B440D4" w:rsidRDefault="00D2643B" w:rsidP="00402205">
            <w:pPr>
              <w:spacing w:before="60" w:after="60" w:line="240" w:lineRule="auto"/>
              <w:jc w:val="center"/>
              <w:rPr>
                <w:lang w:eastAsia="nb-NO"/>
              </w:rPr>
            </w:pPr>
            <w:r w:rsidRPr="00B440D4">
              <w:rPr>
                <w:sz w:val="22"/>
                <w:szCs w:val="22"/>
                <w:lang w:eastAsia="nb-NO"/>
              </w:rPr>
              <w:t>2</w:t>
            </w:r>
          </w:p>
        </w:tc>
        <w:tc>
          <w:tcPr>
            <w:tcW w:w="900" w:type="dxa"/>
          </w:tcPr>
          <w:p w14:paraId="184C45E0"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r>
      <w:tr w:rsidR="00D2643B" w:rsidRPr="00B440D4" w14:paraId="74778B8D" w14:textId="77777777" w:rsidTr="0032548A">
        <w:trPr>
          <w:trHeight w:val="255"/>
        </w:trPr>
        <w:tc>
          <w:tcPr>
            <w:tcW w:w="2268" w:type="dxa"/>
            <w:noWrap/>
          </w:tcPr>
          <w:p w14:paraId="3AC9F11F" w14:textId="77777777" w:rsidR="00D2643B" w:rsidRPr="00B440D4" w:rsidRDefault="00D2643B" w:rsidP="00402205">
            <w:pPr>
              <w:spacing w:before="60" w:after="60" w:line="240" w:lineRule="auto"/>
              <w:rPr>
                <w:lang w:eastAsia="nb-NO"/>
              </w:rPr>
            </w:pPr>
            <w:r w:rsidRPr="00B440D4">
              <w:rPr>
                <w:sz w:val="22"/>
                <w:szCs w:val="22"/>
                <w:lang w:eastAsia="nb-NO"/>
              </w:rPr>
              <w:t>1  Basic materials</w:t>
            </w:r>
          </w:p>
        </w:tc>
        <w:tc>
          <w:tcPr>
            <w:tcW w:w="990" w:type="dxa"/>
            <w:noWrap/>
          </w:tcPr>
          <w:p w14:paraId="70340534" w14:textId="77777777" w:rsidR="00D2643B" w:rsidRPr="00B440D4" w:rsidRDefault="00D2643B" w:rsidP="00402205">
            <w:pPr>
              <w:spacing w:before="60" w:after="60" w:line="240" w:lineRule="auto"/>
              <w:jc w:val="center"/>
              <w:rPr>
                <w:lang w:eastAsia="nb-NO"/>
              </w:rPr>
            </w:pPr>
            <w:r w:rsidRPr="00B440D4">
              <w:rPr>
                <w:sz w:val="22"/>
                <w:szCs w:val="22"/>
                <w:lang w:eastAsia="nb-NO"/>
              </w:rPr>
              <w:t>5</w:t>
            </w:r>
          </w:p>
        </w:tc>
        <w:tc>
          <w:tcPr>
            <w:tcW w:w="900" w:type="dxa"/>
          </w:tcPr>
          <w:p w14:paraId="16B89F05" w14:textId="77777777" w:rsidR="00D2643B" w:rsidRPr="00B440D4" w:rsidRDefault="00D2643B" w:rsidP="00402205">
            <w:pPr>
              <w:spacing w:before="60" w:after="60" w:line="240" w:lineRule="auto"/>
              <w:jc w:val="center"/>
              <w:rPr>
                <w:lang w:eastAsia="nb-NO"/>
              </w:rPr>
            </w:pPr>
            <w:r w:rsidRPr="00B440D4">
              <w:rPr>
                <w:sz w:val="22"/>
                <w:szCs w:val="22"/>
                <w:lang w:eastAsia="nb-NO"/>
              </w:rPr>
              <w:t>2</w:t>
            </w:r>
            <w:r w:rsidR="008C678E">
              <w:rPr>
                <w:sz w:val="22"/>
                <w:szCs w:val="22"/>
                <w:lang w:eastAsia="nb-NO"/>
              </w:rPr>
              <w:t>1</w:t>
            </w:r>
          </w:p>
        </w:tc>
        <w:tc>
          <w:tcPr>
            <w:tcW w:w="810" w:type="dxa"/>
            <w:noWrap/>
          </w:tcPr>
          <w:p w14:paraId="43B9317F" w14:textId="77777777" w:rsidR="00D2643B" w:rsidRPr="00B440D4" w:rsidRDefault="00D2643B" w:rsidP="00402205">
            <w:pPr>
              <w:spacing w:before="60" w:after="60" w:line="240" w:lineRule="auto"/>
              <w:jc w:val="center"/>
              <w:rPr>
                <w:lang w:eastAsia="nb-NO"/>
              </w:rPr>
            </w:pPr>
            <w:r w:rsidRPr="00B440D4">
              <w:rPr>
                <w:sz w:val="22"/>
                <w:szCs w:val="22"/>
                <w:lang w:eastAsia="nb-NO"/>
              </w:rPr>
              <w:t>10</w:t>
            </w:r>
          </w:p>
        </w:tc>
        <w:tc>
          <w:tcPr>
            <w:tcW w:w="990" w:type="dxa"/>
          </w:tcPr>
          <w:p w14:paraId="32ACB532" w14:textId="77777777" w:rsidR="00D2643B" w:rsidRPr="00B440D4" w:rsidRDefault="00D2643B" w:rsidP="00402205">
            <w:pPr>
              <w:spacing w:before="60" w:after="60" w:line="240" w:lineRule="auto"/>
              <w:jc w:val="center"/>
              <w:rPr>
                <w:lang w:eastAsia="nb-NO"/>
              </w:rPr>
            </w:pPr>
            <w:r w:rsidRPr="00B440D4">
              <w:rPr>
                <w:sz w:val="22"/>
                <w:szCs w:val="22"/>
                <w:lang w:eastAsia="nb-NO"/>
              </w:rPr>
              <w:t>3</w:t>
            </w:r>
          </w:p>
        </w:tc>
        <w:tc>
          <w:tcPr>
            <w:tcW w:w="810" w:type="dxa"/>
            <w:noWrap/>
          </w:tcPr>
          <w:p w14:paraId="26B013C3"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720" w:type="dxa"/>
            <w:noWrap/>
          </w:tcPr>
          <w:p w14:paraId="4BF2D616" w14:textId="77777777" w:rsidR="00D2643B" w:rsidRPr="00B440D4" w:rsidRDefault="00D2643B" w:rsidP="00402205">
            <w:pPr>
              <w:spacing w:before="60" w:after="60" w:line="240" w:lineRule="auto"/>
              <w:jc w:val="center"/>
              <w:rPr>
                <w:lang w:eastAsia="nb-NO"/>
              </w:rPr>
            </w:pPr>
            <w:r w:rsidRPr="00B440D4">
              <w:rPr>
                <w:sz w:val="22"/>
                <w:szCs w:val="22"/>
                <w:lang w:eastAsia="nb-NO"/>
              </w:rPr>
              <w:t>2</w:t>
            </w:r>
          </w:p>
        </w:tc>
        <w:tc>
          <w:tcPr>
            <w:tcW w:w="630" w:type="dxa"/>
          </w:tcPr>
          <w:p w14:paraId="3E0BF750"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c>
          <w:tcPr>
            <w:tcW w:w="720" w:type="dxa"/>
          </w:tcPr>
          <w:p w14:paraId="6C1B926C"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c>
          <w:tcPr>
            <w:tcW w:w="900" w:type="dxa"/>
          </w:tcPr>
          <w:p w14:paraId="78CD3BAE" w14:textId="77777777" w:rsidR="00D2643B" w:rsidRPr="00B440D4" w:rsidRDefault="00D2643B" w:rsidP="00402205">
            <w:pPr>
              <w:spacing w:before="60" w:after="60" w:line="240" w:lineRule="auto"/>
              <w:jc w:val="center"/>
              <w:rPr>
                <w:lang w:eastAsia="nb-NO"/>
              </w:rPr>
            </w:pPr>
            <w:r w:rsidRPr="00B440D4">
              <w:rPr>
                <w:sz w:val="22"/>
                <w:szCs w:val="22"/>
                <w:lang w:eastAsia="nb-NO"/>
              </w:rPr>
              <w:t>3</w:t>
            </w:r>
          </w:p>
        </w:tc>
      </w:tr>
      <w:tr w:rsidR="00D2643B" w:rsidRPr="00B440D4" w14:paraId="2CB71104" w14:textId="77777777" w:rsidTr="0032548A">
        <w:trPr>
          <w:trHeight w:val="255"/>
        </w:trPr>
        <w:tc>
          <w:tcPr>
            <w:tcW w:w="2268" w:type="dxa"/>
            <w:noWrap/>
          </w:tcPr>
          <w:p w14:paraId="29319E7B" w14:textId="77777777" w:rsidR="00D2643B" w:rsidRPr="00B440D4" w:rsidRDefault="00D2643B" w:rsidP="00402205">
            <w:pPr>
              <w:spacing w:before="60" w:after="60" w:line="240" w:lineRule="auto"/>
              <w:rPr>
                <w:lang w:eastAsia="nb-NO"/>
              </w:rPr>
            </w:pPr>
            <w:r w:rsidRPr="00B440D4">
              <w:rPr>
                <w:sz w:val="22"/>
                <w:szCs w:val="22"/>
                <w:lang w:eastAsia="nb-NO"/>
              </w:rPr>
              <w:t>2  Industrials</w:t>
            </w:r>
          </w:p>
        </w:tc>
        <w:tc>
          <w:tcPr>
            <w:tcW w:w="990" w:type="dxa"/>
            <w:noWrap/>
          </w:tcPr>
          <w:p w14:paraId="6F998AB4" w14:textId="77777777" w:rsidR="00D2643B" w:rsidRPr="00B440D4" w:rsidRDefault="00D2643B" w:rsidP="00402205">
            <w:pPr>
              <w:spacing w:before="60" w:after="60" w:line="240" w:lineRule="auto"/>
              <w:jc w:val="center"/>
              <w:rPr>
                <w:lang w:eastAsia="nb-NO"/>
              </w:rPr>
            </w:pPr>
            <w:r w:rsidRPr="00B440D4">
              <w:rPr>
                <w:sz w:val="22"/>
                <w:szCs w:val="22"/>
                <w:lang w:eastAsia="nb-NO"/>
              </w:rPr>
              <w:t>5</w:t>
            </w:r>
          </w:p>
        </w:tc>
        <w:tc>
          <w:tcPr>
            <w:tcW w:w="900" w:type="dxa"/>
          </w:tcPr>
          <w:p w14:paraId="706B1A2B" w14:textId="77777777" w:rsidR="00D2643B" w:rsidRPr="00B440D4" w:rsidRDefault="00D2643B" w:rsidP="00402205">
            <w:pPr>
              <w:spacing w:before="60" w:after="60" w:line="240" w:lineRule="auto"/>
              <w:jc w:val="center"/>
              <w:rPr>
                <w:lang w:eastAsia="nb-NO"/>
              </w:rPr>
            </w:pPr>
            <w:r w:rsidRPr="00B440D4">
              <w:rPr>
                <w:sz w:val="22"/>
                <w:szCs w:val="22"/>
                <w:lang w:eastAsia="nb-NO"/>
              </w:rPr>
              <w:t>2</w:t>
            </w:r>
          </w:p>
        </w:tc>
        <w:tc>
          <w:tcPr>
            <w:tcW w:w="810" w:type="dxa"/>
            <w:noWrap/>
          </w:tcPr>
          <w:p w14:paraId="57D7CA59" w14:textId="77777777" w:rsidR="00D2643B" w:rsidRPr="00B440D4" w:rsidRDefault="00D2643B" w:rsidP="00402205">
            <w:pPr>
              <w:spacing w:before="60" w:after="60" w:line="240" w:lineRule="auto"/>
              <w:jc w:val="center"/>
              <w:rPr>
                <w:lang w:eastAsia="nb-NO"/>
              </w:rPr>
            </w:pPr>
            <w:r w:rsidRPr="00B440D4">
              <w:rPr>
                <w:sz w:val="22"/>
                <w:szCs w:val="22"/>
                <w:lang w:eastAsia="nb-NO"/>
              </w:rPr>
              <w:t>3</w:t>
            </w:r>
          </w:p>
        </w:tc>
        <w:tc>
          <w:tcPr>
            <w:tcW w:w="990" w:type="dxa"/>
          </w:tcPr>
          <w:p w14:paraId="0C7A9360" w14:textId="77777777" w:rsidR="00D2643B" w:rsidRPr="00B440D4" w:rsidRDefault="00D2643B" w:rsidP="00402205">
            <w:pPr>
              <w:spacing w:before="60" w:after="60" w:line="240" w:lineRule="auto"/>
              <w:jc w:val="center"/>
              <w:rPr>
                <w:lang w:eastAsia="nb-NO"/>
              </w:rPr>
            </w:pPr>
            <w:r w:rsidRPr="00B440D4">
              <w:rPr>
                <w:sz w:val="22"/>
                <w:szCs w:val="22"/>
                <w:lang w:eastAsia="nb-NO"/>
              </w:rPr>
              <w:t>5</w:t>
            </w:r>
          </w:p>
        </w:tc>
        <w:tc>
          <w:tcPr>
            <w:tcW w:w="810" w:type="dxa"/>
            <w:noWrap/>
          </w:tcPr>
          <w:p w14:paraId="55747196" w14:textId="77777777" w:rsidR="00D2643B" w:rsidRPr="00B440D4" w:rsidRDefault="00D2643B" w:rsidP="00402205">
            <w:pPr>
              <w:spacing w:before="60" w:after="60" w:line="240" w:lineRule="auto"/>
              <w:jc w:val="center"/>
              <w:rPr>
                <w:lang w:eastAsia="nb-NO"/>
              </w:rPr>
            </w:pPr>
            <w:r w:rsidRPr="00B440D4">
              <w:rPr>
                <w:sz w:val="22"/>
                <w:szCs w:val="22"/>
                <w:lang w:eastAsia="nb-NO"/>
              </w:rPr>
              <w:t>7</w:t>
            </w:r>
          </w:p>
        </w:tc>
        <w:tc>
          <w:tcPr>
            <w:tcW w:w="720" w:type="dxa"/>
            <w:noWrap/>
          </w:tcPr>
          <w:p w14:paraId="6F366BAB" w14:textId="77777777" w:rsidR="00D2643B" w:rsidRPr="00B440D4" w:rsidRDefault="00D2643B" w:rsidP="00402205">
            <w:pPr>
              <w:spacing w:before="60" w:after="60" w:line="240" w:lineRule="auto"/>
              <w:jc w:val="center"/>
              <w:rPr>
                <w:lang w:eastAsia="nb-NO"/>
              </w:rPr>
            </w:pPr>
            <w:r w:rsidRPr="00B440D4">
              <w:rPr>
                <w:sz w:val="22"/>
                <w:szCs w:val="22"/>
                <w:lang w:eastAsia="nb-NO"/>
              </w:rPr>
              <w:t>7</w:t>
            </w:r>
          </w:p>
        </w:tc>
        <w:tc>
          <w:tcPr>
            <w:tcW w:w="630" w:type="dxa"/>
          </w:tcPr>
          <w:p w14:paraId="15CD79B5" w14:textId="77777777" w:rsidR="00D2643B" w:rsidRPr="00B440D4" w:rsidRDefault="00D2643B" w:rsidP="00402205">
            <w:pPr>
              <w:spacing w:before="60" w:after="60" w:line="240" w:lineRule="auto"/>
              <w:jc w:val="center"/>
              <w:rPr>
                <w:lang w:eastAsia="nb-NO"/>
              </w:rPr>
            </w:pPr>
            <w:r w:rsidRPr="00B440D4">
              <w:rPr>
                <w:sz w:val="22"/>
                <w:szCs w:val="22"/>
                <w:lang w:eastAsia="nb-NO"/>
              </w:rPr>
              <w:t>5</w:t>
            </w:r>
          </w:p>
        </w:tc>
        <w:tc>
          <w:tcPr>
            <w:tcW w:w="720" w:type="dxa"/>
          </w:tcPr>
          <w:p w14:paraId="06C2CE87" w14:textId="77777777" w:rsidR="00D2643B" w:rsidRPr="00B440D4" w:rsidRDefault="00D2643B" w:rsidP="00402205">
            <w:pPr>
              <w:spacing w:before="60" w:after="60" w:line="240" w:lineRule="auto"/>
              <w:jc w:val="center"/>
              <w:rPr>
                <w:lang w:eastAsia="nb-NO"/>
              </w:rPr>
            </w:pPr>
            <w:r w:rsidRPr="00B440D4">
              <w:rPr>
                <w:sz w:val="22"/>
                <w:szCs w:val="22"/>
                <w:lang w:eastAsia="nb-NO"/>
              </w:rPr>
              <w:t>5</w:t>
            </w:r>
          </w:p>
        </w:tc>
        <w:tc>
          <w:tcPr>
            <w:tcW w:w="900" w:type="dxa"/>
          </w:tcPr>
          <w:p w14:paraId="7A79C63D" w14:textId="77777777" w:rsidR="00D2643B" w:rsidRPr="00B440D4" w:rsidRDefault="00D2643B" w:rsidP="00402205">
            <w:pPr>
              <w:spacing w:before="60" w:after="60" w:line="240" w:lineRule="auto"/>
              <w:jc w:val="center"/>
              <w:rPr>
                <w:lang w:eastAsia="nb-NO"/>
              </w:rPr>
            </w:pPr>
            <w:r w:rsidRPr="00B440D4">
              <w:rPr>
                <w:sz w:val="22"/>
                <w:szCs w:val="22"/>
                <w:lang w:eastAsia="nb-NO"/>
              </w:rPr>
              <w:t>6</w:t>
            </w:r>
          </w:p>
        </w:tc>
      </w:tr>
      <w:tr w:rsidR="00D2643B" w:rsidRPr="00B440D4" w14:paraId="039A3366" w14:textId="77777777" w:rsidTr="0032548A">
        <w:trPr>
          <w:trHeight w:val="255"/>
        </w:trPr>
        <w:tc>
          <w:tcPr>
            <w:tcW w:w="2268" w:type="dxa"/>
            <w:noWrap/>
          </w:tcPr>
          <w:p w14:paraId="06148DDD" w14:textId="77777777" w:rsidR="00D2643B" w:rsidRPr="00B440D4" w:rsidRDefault="00D2643B" w:rsidP="00402205">
            <w:pPr>
              <w:spacing w:before="60" w:after="60" w:line="240" w:lineRule="auto"/>
              <w:rPr>
                <w:lang w:eastAsia="nb-NO"/>
              </w:rPr>
            </w:pPr>
            <w:r w:rsidRPr="00B440D4">
              <w:rPr>
                <w:sz w:val="22"/>
                <w:szCs w:val="22"/>
                <w:lang w:eastAsia="nb-NO"/>
              </w:rPr>
              <w:t>3  Consumer goods</w:t>
            </w:r>
          </w:p>
        </w:tc>
        <w:tc>
          <w:tcPr>
            <w:tcW w:w="990" w:type="dxa"/>
            <w:noWrap/>
          </w:tcPr>
          <w:p w14:paraId="5D930EBB"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900" w:type="dxa"/>
          </w:tcPr>
          <w:p w14:paraId="6DA905A8" w14:textId="77777777" w:rsidR="00D2643B" w:rsidRPr="00B440D4" w:rsidRDefault="008C678E" w:rsidP="00402205">
            <w:pPr>
              <w:spacing w:before="60" w:after="60" w:line="240" w:lineRule="auto"/>
              <w:jc w:val="center"/>
              <w:rPr>
                <w:lang w:eastAsia="nb-NO"/>
              </w:rPr>
            </w:pPr>
            <w:r>
              <w:rPr>
                <w:sz w:val="22"/>
                <w:szCs w:val="22"/>
                <w:lang w:eastAsia="nb-NO"/>
              </w:rPr>
              <w:t>2</w:t>
            </w:r>
          </w:p>
        </w:tc>
        <w:tc>
          <w:tcPr>
            <w:tcW w:w="810" w:type="dxa"/>
            <w:noWrap/>
          </w:tcPr>
          <w:p w14:paraId="084AE330" w14:textId="77777777" w:rsidR="00D2643B" w:rsidRPr="00B440D4" w:rsidRDefault="00D2643B" w:rsidP="00402205">
            <w:pPr>
              <w:spacing w:before="60" w:after="60" w:line="240" w:lineRule="auto"/>
              <w:jc w:val="center"/>
              <w:rPr>
                <w:lang w:eastAsia="nb-NO"/>
              </w:rPr>
            </w:pPr>
            <w:r w:rsidRPr="00B440D4">
              <w:rPr>
                <w:sz w:val="22"/>
                <w:szCs w:val="22"/>
                <w:lang w:eastAsia="nb-NO"/>
              </w:rPr>
              <w:t>9</w:t>
            </w:r>
          </w:p>
        </w:tc>
        <w:tc>
          <w:tcPr>
            <w:tcW w:w="990" w:type="dxa"/>
          </w:tcPr>
          <w:p w14:paraId="3BFA644E" w14:textId="77777777" w:rsidR="00D2643B" w:rsidRPr="00B440D4" w:rsidRDefault="00D2643B" w:rsidP="00402205">
            <w:pPr>
              <w:spacing w:before="60" w:after="60" w:line="240" w:lineRule="auto"/>
              <w:jc w:val="center"/>
              <w:rPr>
                <w:lang w:eastAsia="nb-NO"/>
              </w:rPr>
            </w:pPr>
            <w:r w:rsidRPr="00B440D4">
              <w:rPr>
                <w:sz w:val="22"/>
                <w:szCs w:val="22"/>
                <w:lang w:eastAsia="nb-NO"/>
              </w:rPr>
              <w:t>6</w:t>
            </w:r>
          </w:p>
        </w:tc>
        <w:tc>
          <w:tcPr>
            <w:tcW w:w="810" w:type="dxa"/>
            <w:noWrap/>
          </w:tcPr>
          <w:p w14:paraId="0FE6E333" w14:textId="77777777" w:rsidR="00D2643B" w:rsidRPr="00B440D4" w:rsidRDefault="00D2643B" w:rsidP="00402205">
            <w:pPr>
              <w:spacing w:before="60" w:after="60" w:line="240" w:lineRule="auto"/>
              <w:jc w:val="center"/>
              <w:rPr>
                <w:lang w:eastAsia="nb-NO"/>
              </w:rPr>
            </w:pPr>
            <w:r w:rsidRPr="00B440D4">
              <w:rPr>
                <w:sz w:val="22"/>
                <w:szCs w:val="22"/>
                <w:lang w:eastAsia="nb-NO"/>
              </w:rPr>
              <w:t>7</w:t>
            </w:r>
          </w:p>
        </w:tc>
        <w:tc>
          <w:tcPr>
            <w:tcW w:w="720" w:type="dxa"/>
            <w:noWrap/>
          </w:tcPr>
          <w:p w14:paraId="27A6CD5B"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c>
          <w:tcPr>
            <w:tcW w:w="630" w:type="dxa"/>
          </w:tcPr>
          <w:p w14:paraId="4520EDE1" w14:textId="77777777" w:rsidR="00D2643B" w:rsidRPr="00B440D4" w:rsidRDefault="00D2643B" w:rsidP="00402205">
            <w:pPr>
              <w:spacing w:before="60" w:after="60" w:line="240" w:lineRule="auto"/>
              <w:jc w:val="center"/>
              <w:rPr>
                <w:lang w:eastAsia="nb-NO"/>
              </w:rPr>
            </w:pPr>
            <w:r w:rsidRPr="00B440D4">
              <w:rPr>
                <w:sz w:val="22"/>
                <w:szCs w:val="22"/>
                <w:lang w:eastAsia="nb-NO"/>
              </w:rPr>
              <w:t>4</w:t>
            </w:r>
          </w:p>
        </w:tc>
        <w:tc>
          <w:tcPr>
            <w:tcW w:w="720" w:type="dxa"/>
          </w:tcPr>
          <w:p w14:paraId="1B52B811"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c>
          <w:tcPr>
            <w:tcW w:w="900" w:type="dxa"/>
          </w:tcPr>
          <w:p w14:paraId="4F6C2A28" w14:textId="77777777" w:rsidR="00D2643B" w:rsidRPr="00B440D4" w:rsidRDefault="00D2643B" w:rsidP="00402205">
            <w:pPr>
              <w:spacing w:before="60" w:after="60" w:line="240" w:lineRule="auto"/>
              <w:jc w:val="center"/>
              <w:rPr>
                <w:lang w:eastAsia="nb-NO"/>
              </w:rPr>
            </w:pPr>
            <w:r w:rsidRPr="00B440D4">
              <w:rPr>
                <w:sz w:val="22"/>
                <w:szCs w:val="22"/>
                <w:lang w:eastAsia="nb-NO"/>
              </w:rPr>
              <w:t>5</w:t>
            </w:r>
          </w:p>
        </w:tc>
      </w:tr>
      <w:tr w:rsidR="00D2643B" w:rsidRPr="00B440D4" w14:paraId="2C31580D" w14:textId="77777777" w:rsidTr="0032548A">
        <w:trPr>
          <w:trHeight w:val="255"/>
        </w:trPr>
        <w:tc>
          <w:tcPr>
            <w:tcW w:w="2268" w:type="dxa"/>
            <w:noWrap/>
          </w:tcPr>
          <w:p w14:paraId="4DB294FD" w14:textId="77777777" w:rsidR="00D2643B" w:rsidRPr="00B440D4" w:rsidRDefault="00D2643B" w:rsidP="00402205">
            <w:pPr>
              <w:spacing w:before="60" w:after="60" w:line="240" w:lineRule="auto"/>
              <w:rPr>
                <w:lang w:eastAsia="nb-NO"/>
              </w:rPr>
            </w:pPr>
            <w:r w:rsidRPr="00B440D4">
              <w:rPr>
                <w:sz w:val="22"/>
                <w:szCs w:val="22"/>
                <w:lang w:eastAsia="nb-NO"/>
              </w:rPr>
              <w:t>4  Health care</w:t>
            </w:r>
          </w:p>
        </w:tc>
        <w:tc>
          <w:tcPr>
            <w:tcW w:w="990" w:type="dxa"/>
            <w:noWrap/>
          </w:tcPr>
          <w:p w14:paraId="570A8BF2" w14:textId="77777777" w:rsidR="00D2643B" w:rsidRPr="00B440D4" w:rsidRDefault="00D2643B" w:rsidP="00402205">
            <w:pPr>
              <w:spacing w:before="60" w:after="60" w:line="240" w:lineRule="auto"/>
              <w:jc w:val="center"/>
              <w:rPr>
                <w:lang w:eastAsia="nb-NO"/>
              </w:rPr>
            </w:pPr>
            <w:r w:rsidRPr="00B440D4">
              <w:rPr>
                <w:sz w:val="22"/>
                <w:szCs w:val="22"/>
                <w:lang w:eastAsia="nb-NO"/>
              </w:rPr>
              <w:t>2</w:t>
            </w:r>
          </w:p>
        </w:tc>
        <w:tc>
          <w:tcPr>
            <w:tcW w:w="900" w:type="dxa"/>
          </w:tcPr>
          <w:p w14:paraId="4AA79B2E"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c>
          <w:tcPr>
            <w:tcW w:w="810" w:type="dxa"/>
            <w:noWrap/>
          </w:tcPr>
          <w:p w14:paraId="1AF90C81" w14:textId="77777777" w:rsidR="00D2643B" w:rsidRPr="00B440D4" w:rsidRDefault="00D2643B" w:rsidP="00402205">
            <w:pPr>
              <w:spacing w:before="60" w:after="60" w:line="240" w:lineRule="auto"/>
              <w:jc w:val="center"/>
              <w:rPr>
                <w:lang w:eastAsia="nb-NO"/>
              </w:rPr>
            </w:pPr>
            <w:r w:rsidRPr="00B440D4">
              <w:rPr>
                <w:sz w:val="22"/>
                <w:szCs w:val="22"/>
                <w:lang w:eastAsia="nb-NO"/>
              </w:rPr>
              <w:t>5</w:t>
            </w:r>
          </w:p>
        </w:tc>
        <w:tc>
          <w:tcPr>
            <w:tcW w:w="990" w:type="dxa"/>
          </w:tcPr>
          <w:p w14:paraId="5F616DB4"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810" w:type="dxa"/>
            <w:noWrap/>
          </w:tcPr>
          <w:p w14:paraId="37BA7F1D" w14:textId="77777777" w:rsidR="00D2643B" w:rsidRPr="00B440D4" w:rsidRDefault="00D2643B" w:rsidP="00402205">
            <w:pPr>
              <w:spacing w:before="60" w:after="60" w:line="240" w:lineRule="auto"/>
              <w:jc w:val="center"/>
              <w:rPr>
                <w:lang w:eastAsia="nb-NO"/>
              </w:rPr>
            </w:pPr>
            <w:r w:rsidRPr="00B440D4">
              <w:rPr>
                <w:sz w:val="22"/>
                <w:szCs w:val="22"/>
                <w:lang w:eastAsia="nb-NO"/>
              </w:rPr>
              <w:t>2</w:t>
            </w:r>
          </w:p>
        </w:tc>
        <w:tc>
          <w:tcPr>
            <w:tcW w:w="720" w:type="dxa"/>
            <w:noWrap/>
          </w:tcPr>
          <w:p w14:paraId="08AB4485"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c>
          <w:tcPr>
            <w:tcW w:w="630" w:type="dxa"/>
          </w:tcPr>
          <w:p w14:paraId="2D7052A6"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c>
          <w:tcPr>
            <w:tcW w:w="720" w:type="dxa"/>
          </w:tcPr>
          <w:p w14:paraId="491F63D9"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c>
          <w:tcPr>
            <w:tcW w:w="900" w:type="dxa"/>
          </w:tcPr>
          <w:p w14:paraId="544668DA"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r>
      <w:tr w:rsidR="00D2643B" w:rsidRPr="00B440D4" w14:paraId="6FFE824A" w14:textId="77777777" w:rsidTr="0032548A">
        <w:trPr>
          <w:trHeight w:val="255"/>
        </w:trPr>
        <w:tc>
          <w:tcPr>
            <w:tcW w:w="2268" w:type="dxa"/>
            <w:noWrap/>
          </w:tcPr>
          <w:p w14:paraId="7C0BB0ED" w14:textId="77777777" w:rsidR="00D2643B" w:rsidRPr="00B440D4" w:rsidRDefault="00D2643B" w:rsidP="00402205">
            <w:pPr>
              <w:spacing w:before="60" w:after="60" w:line="240" w:lineRule="auto"/>
              <w:rPr>
                <w:lang w:eastAsia="nb-NO"/>
              </w:rPr>
            </w:pPr>
            <w:r w:rsidRPr="00B440D4">
              <w:rPr>
                <w:sz w:val="22"/>
                <w:szCs w:val="22"/>
                <w:lang w:eastAsia="nb-NO"/>
              </w:rPr>
              <w:t>5  Consumer services</w:t>
            </w:r>
          </w:p>
        </w:tc>
        <w:tc>
          <w:tcPr>
            <w:tcW w:w="990" w:type="dxa"/>
            <w:noWrap/>
          </w:tcPr>
          <w:p w14:paraId="678F7BDE" w14:textId="77777777" w:rsidR="00D2643B" w:rsidRPr="00B440D4" w:rsidRDefault="00D2643B" w:rsidP="00402205">
            <w:pPr>
              <w:spacing w:before="60" w:after="60" w:line="240" w:lineRule="auto"/>
              <w:jc w:val="center"/>
              <w:rPr>
                <w:lang w:eastAsia="nb-NO"/>
              </w:rPr>
            </w:pPr>
            <w:r w:rsidRPr="00B440D4">
              <w:rPr>
                <w:sz w:val="22"/>
                <w:szCs w:val="22"/>
                <w:lang w:eastAsia="nb-NO"/>
              </w:rPr>
              <w:t>6</w:t>
            </w:r>
          </w:p>
        </w:tc>
        <w:tc>
          <w:tcPr>
            <w:tcW w:w="900" w:type="dxa"/>
          </w:tcPr>
          <w:p w14:paraId="068FD296" w14:textId="77777777" w:rsidR="00D2643B" w:rsidRPr="00B440D4" w:rsidRDefault="008C678E" w:rsidP="00402205">
            <w:pPr>
              <w:spacing w:before="60" w:after="60" w:line="240" w:lineRule="auto"/>
              <w:jc w:val="center"/>
              <w:rPr>
                <w:lang w:eastAsia="nb-NO"/>
              </w:rPr>
            </w:pPr>
            <w:r>
              <w:rPr>
                <w:sz w:val="22"/>
                <w:szCs w:val="22"/>
                <w:lang w:eastAsia="nb-NO"/>
              </w:rPr>
              <w:t>4</w:t>
            </w:r>
          </w:p>
        </w:tc>
        <w:tc>
          <w:tcPr>
            <w:tcW w:w="810" w:type="dxa"/>
            <w:noWrap/>
          </w:tcPr>
          <w:p w14:paraId="568E7D49" w14:textId="77777777" w:rsidR="00D2643B" w:rsidRPr="00B440D4" w:rsidRDefault="00D2643B" w:rsidP="00402205">
            <w:pPr>
              <w:spacing w:before="60" w:after="60" w:line="240" w:lineRule="auto"/>
              <w:jc w:val="center"/>
              <w:rPr>
                <w:lang w:eastAsia="nb-NO"/>
              </w:rPr>
            </w:pPr>
            <w:r w:rsidRPr="00B440D4">
              <w:rPr>
                <w:sz w:val="22"/>
                <w:szCs w:val="22"/>
                <w:lang w:eastAsia="nb-NO"/>
              </w:rPr>
              <w:t>22</w:t>
            </w:r>
          </w:p>
        </w:tc>
        <w:tc>
          <w:tcPr>
            <w:tcW w:w="990" w:type="dxa"/>
          </w:tcPr>
          <w:p w14:paraId="33694D96" w14:textId="77777777" w:rsidR="00D2643B" w:rsidRPr="00B440D4" w:rsidRDefault="00D2643B" w:rsidP="00402205">
            <w:pPr>
              <w:spacing w:before="60" w:after="60" w:line="240" w:lineRule="auto"/>
              <w:jc w:val="center"/>
              <w:rPr>
                <w:lang w:eastAsia="nb-NO"/>
              </w:rPr>
            </w:pPr>
            <w:r w:rsidRPr="00B440D4">
              <w:rPr>
                <w:sz w:val="22"/>
                <w:szCs w:val="22"/>
                <w:lang w:eastAsia="nb-NO"/>
              </w:rPr>
              <w:t>4</w:t>
            </w:r>
          </w:p>
        </w:tc>
        <w:tc>
          <w:tcPr>
            <w:tcW w:w="810" w:type="dxa"/>
            <w:noWrap/>
          </w:tcPr>
          <w:p w14:paraId="69D234D4" w14:textId="77777777" w:rsidR="00D2643B" w:rsidRPr="00B440D4" w:rsidRDefault="00D2643B" w:rsidP="00402205">
            <w:pPr>
              <w:spacing w:before="60" w:after="60" w:line="240" w:lineRule="auto"/>
              <w:jc w:val="center"/>
              <w:rPr>
                <w:lang w:eastAsia="nb-NO"/>
              </w:rPr>
            </w:pPr>
            <w:r w:rsidRPr="00B440D4">
              <w:rPr>
                <w:sz w:val="22"/>
                <w:szCs w:val="22"/>
                <w:lang w:eastAsia="nb-NO"/>
              </w:rPr>
              <w:t>6</w:t>
            </w:r>
          </w:p>
        </w:tc>
        <w:tc>
          <w:tcPr>
            <w:tcW w:w="720" w:type="dxa"/>
            <w:noWrap/>
          </w:tcPr>
          <w:p w14:paraId="404191D7" w14:textId="77777777" w:rsidR="00D2643B" w:rsidRPr="00B440D4" w:rsidRDefault="00D2643B" w:rsidP="00402205">
            <w:pPr>
              <w:spacing w:before="60" w:after="60" w:line="240" w:lineRule="auto"/>
              <w:jc w:val="center"/>
              <w:rPr>
                <w:lang w:eastAsia="nb-NO"/>
              </w:rPr>
            </w:pPr>
            <w:r w:rsidRPr="00B440D4">
              <w:rPr>
                <w:sz w:val="22"/>
                <w:szCs w:val="22"/>
                <w:lang w:eastAsia="nb-NO"/>
              </w:rPr>
              <w:t>4</w:t>
            </w:r>
          </w:p>
        </w:tc>
        <w:tc>
          <w:tcPr>
            <w:tcW w:w="630" w:type="dxa"/>
          </w:tcPr>
          <w:p w14:paraId="2E84C35E" w14:textId="77777777" w:rsidR="00D2643B" w:rsidRPr="00B440D4" w:rsidRDefault="00D2643B" w:rsidP="00402205">
            <w:pPr>
              <w:spacing w:before="60" w:after="60" w:line="240" w:lineRule="auto"/>
              <w:jc w:val="center"/>
              <w:rPr>
                <w:lang w:eastAsia="nb-NO"/>
              </w:rPr>
            </w:pPr>
            <w:r w:rsidRPr="00B440D4">
              <w:rPr>
                <w:sz w:val="22"/>
                <w:szCs w:val="22"/>
                <w:lang w:eastAsia="nb-NO"/>
              </w:rPr>
              <w:t>2</w:t>
            </w:r>
          </w:p>
        </w:tc>
        <w:tc>
          <w:tcPr>
            <w:tcW w:w="720" w:type="dxa"/>
          </w:tcPr>
          <w:p w14:paraId="3647B3F5"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900" w:type="dxa"/>
          </w:tcPr>
          <w:p w14:paraId="77CF8A6D"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r>
      <w:tr w:rsidR="00D2643B" w:rsidRPr="00B440D4" w14:paraId="396E28E1" w14:textId="77777777" w:rsidTr="0032548A">
        <w:trPr>
          <w:trHeight w:val="255"/>
        </w:trPr>
        <w:tc>
          <w:tcPr>
            <w:tcW w:w="2268" w:type="dxa"/>
            <w:noWrap/>
          </w:tcPr>
          <w:p w14:paraId="11D9331E" w14:textId="77777777" w:rsidR="00D2643B" w:rsidRPr="00B440D4" w:rsidRDefault="00D2643B" w:rsidP="00402205">
            <w:pPr>
              <w:spacing w:before="60" w:after="60" w:line="240" w:lineRule="auto"/>
              <w:rPr>
                <w:lang w:eastAsia="nb-NO"/>
              </w:rPr>
            </w:pPr>
            <w:r w:rsidRPr="00B440D4">
              <w:rPr>
                <w:sz w:val="22"/>
                <w:szCs w:val="22"/>
                <w:lang w:eastAsia="nb-NO"/>
              </w:rPr>
              <w:t>6 Telecommunications</w:t>
            </w:r>
          </w:p>
        </w:tc>
        <w:tc>
          <w:tcPr>
            <w:tcW w:w="990" w:type="dxa"/>
            <w:noWrap/>
          </w:tcPr>
          <w:p w14:paraId="548ABE78"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900" w:type="dxa"/>
          </w:tcPr>
          <w:p w14:paraId="69B9E0C0" w14:textId="77777777" w:rsidR="00D2643B" w:rsidRPr="00B440D4" w:rsidRDefault="00D2643B" w:rsidP="00402205">
            <w:pPr>
              <w:spacing w:before="60" w:after="60" w:line="240" w:lineRule="auto"/>
              <w:jc w:val="center"/>
              <w:rPr>
                <w:lang w:eastAsia="nb-NO"/>
              </w:rPr>
            </w:pPr>
            <w:r w:rsidRPr="00B440D4">
              <w:rPr>
                <w:sz w:val="22"/>
                <w:szCs w:val="22"/>
                <w:lang w:eastAsia="nb-NO"/>
              </w:rPr>
              <w:t>3</w:t>
            </w:r>
          </w:p>
        </w:tc>
        <w:tc>
          <w:tcPr>
            <w:tcW w:w="810" w:type="dxa"/>
            <w:noWrap/>
          </w:tcPr>
          <w:p w14:paraId="1AF019D1" w14:textId="77777777" w:rsidR="00D2643B" w:rsidRPr="00B440D4" w:rsidRDefault="00D2643B" w:rsidP="00402205">
            <w:pPr>
              <w:spacing w:before="60" w:after="60" w:line="240" w:lineRule="auto"/>
              <w:jc w:val="center"/>
              <w:rPr>
                <w:lang w:eastAsia="nb-NO"/>
              </w:rPr>
            </w:pPr>
            <w:r w:rsidRPr="00B440D4">
              <w:rPr>
                <w:sz w:val="22"/>
                <w:szCs w:val="22"/>
                <w:lang w:eastAsia="nb-NO"/>
              </w:rPr>
              <w:t>3</w:t>
            </w:r>
          </w:p>
        </w:tc>
        <w:tc>
          <w:tcPr>
            <w:tcW w:w="990" w:type="dxa"/>
          </w:tcPr>
          <w:p w14:paraId="081B2844"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810" w:type="dxa"/>
            <w:noWrap/>
          </w:tcPr>
          <w:p w14:paraId="14E47B2B"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720" w:type="dxa"/>
            <w:noWrap/>
          </w:tcPr>
          <w:p w14:paraId="1C55D885"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630" w:type="dxa"/>
          </w:tcPr>
          <w:p w14:paraId="24602D20"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720" w:type="dxa"/>
          </w:tcPr>
          <w:p w14:paraId="18AFF10E"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900" w:type="dxa"/>
          </w:tcPr>
          <w:p w14:paraId="30BF640E" w14:textId="77777777" w:rsidR="00D2643B" w:rsidRPr="00B440D4" w:rsidRDefault="00D2643B" w:rsidP="00402205">
            <w:pPr>
              <w:spacing w:before="60" w:after="60" w:line="240" w:lineRule="auto"/>
              <w:jc w:val="center"/>
              <w:rPr>
                <w:lang w:eastAsia="nb-NO"/>
              </w:rPr>
            </w:pPr>
            <w:r w:rsidRPr="00B440D4">
              <w:rPr>
                <w:sz w:val="22"/>
                <w:szCs w:val="22"/>
                <w:lang w:eastAsia="nb-NO"/>
              </w:rPr>
              <w:t>2</w:t>
            </w:r>
          </w:p>
        </w:tc>
      </w:tr>
      <w:tr w:rsidR="00D2643B" w:rsidRPr="00B440D4" w14:paraId="3B860E29" w14:textId="77777777" w:rsidTr="0032548A">
        <w:trPr>
          <w:trHeight w:val="255"/>
        </w:trPr>
        <w:tc>
          <w:tcPr>
            <w:tcW w:w="2268" w:type="dxa"/>
            <w:noWrap/>
          </w:tcPr>
          <w:p w14:paraId="522317A1" w14:textId="77777777" w:rsidR="00D2643B" w:rsidRPr="00B440D4" w:rsidRDefault="00D2643B" w:rsidP="00402205">
            <w:pPr>
              <w:spacing w:before="60" w:after="60" w:line="240" w:lineRule="auto"/>
              <w:rPr>
                <w:lang w:eastAsia="nb-NO"/>
              </w:rPr>
            </w:pPr>
            <w:r w:rsidRPr="00B440D4">
              <w:rPr>
                <w:sz w:val="22"/>
                <w:szCs w:val="22"/>
                <w:lang w:eastAsia="nb-NO"/>
              </w:rPr>
              <w:t>7  Utilities</w:t>
            </w:r>
          </w:p>
        </w:tc>
        <w:tc>
          <w:tcPr>
            <w:tcW w:w="990" w:type="dxa"/>
            <w:noWrap/>
          </w:tcPr>
          <w:p w14:paraId="274E57CD"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900" w:type="dxa"/>
          </w:tcPr>
          <w:p w14:paraId="038B24EC"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810" w:type="dxa"/>
            <w:noWrap/>
          </w:tcPr>
          <w:p w14:paraId="0C143639" w14:textId="77777777" w:rsidR="00D2643B" w:rsidRPr="00B440D4" w:rsidRDefault="00D2643B" w:rsidP="00402205">
            <w:pPr>
              <w:spacing w:before="60" w:after="60" w:line="240" w:lineRule="auto"/>
              <w:jc w:val="center"/>
              <w:rPr>
                <w:lang w:eastAsia="nb-NO"/>
              </w:rPr>
            </w:pPr>
            <w:r w:rsidRPr="00B440D4">
              <w:rPr>
                <w:sz w:val="22"/>
                <w:szCs w:val="22"/>
                <w:lang w:eastAsia="nb-NO"/>
              </w:rPr>
              <w:t>7</w:t>
            </w:r>
          </w:p>
        </w:tc>
        <w:tc>
          <w:tcPr>
            <w:tcW w:w="990" w:type="dxa"/>
          </w:tcPr>
          <w:p w14:paraId="7E70DCEE" w14:textId="77777777" w:rsidR="00D2643B" w:rsidRPr="00B440D4" w:rsidRDefault="00D2643B" w:rsidP="00402205">
            <w:pPr>
              <w:spacing w:before="60" w:after="60" w:line="240" w:lineRule="auto"/>
              <w:jc w:val="center"/>
              <w:rPr>
                <w:lang w:eastAsia="nb-NO"/>
              </w:rPr>
            </w:pPr>
            <w:r w:rsidRPr="00B440D4">
              <w:rPr>
                <w:sz w:val="22"/>
                <w:szCs w:val="22"/>
                <w:lang w:eastAsia="nb-NO"/>
              </w:rPr>
              <w:t>2</w:t>
            </w:r>
          </w:p>
        </w:tc>
        <w:tc>
          <w:tcPr>
            <w:tcW w:w="810" w:type="dxa"/>
            <w:noWrap/>
          </w:tcPr>
          <w:p w14:paraId="4AD88774" w14:textId="77777777" w:rsidR="00D2643B" w:rsidRPr="00B440D4" w:rsidRDefault="00D2643B" w:rsidP="00402205">
            <w:pPr>
              <w:spacing w:before="60" w:after="60" w:line="240" w:lineRule="auto"/>
              <w:jc w:val="center"/>
              <w:rPr>
                <w:lang w:eastAsia="nb-NO"/>
              </w:rPr>
            </w:pPr>
            <w:r w:rsidRPr="00B440D4">
              <w:rPr>
                <w:sz w:val="22"/>
                <w:szCs w:val="22"/>
                <w:lang w:eastAsia="nb-NO"/>
              </w:rPr>
              <w:t>3</w:t>
            </w:r>
          </w:p>
        </w:tc>
        <w:tc>
          <w:tcPr>
            <w:tcW w:w="720" w:type="dxa"/>
            <w:noWrap/>
          </w:tcPr>
          <w:p w14:paraId="6FD143AE" w14:textId="77777777" w:rsidR="00D2643B" w:rsidRPr="00B440D4" w:rsidRDefault="00D2643B" w:rsidP="00402205">
            <w:pPr>
              <w:spacing w:before="60" w:after="60" w:line="240" w:lineRule="auto"/>
              <w:jc w:val="center"/>
              <w:rPr>
                <w:lang w:eastAsia="nb-NO"/>
              </w:rPr>
            </w:pPr>
            <w:r w:rsidRPr="00B440D4">
              <w:rPr>
                <w:sz w:val="22"/>
                <w:szCs w:val="22"/>
                <w:lang w:eastAsia="nb-NO"/>
              </w:rPr>
              <w:t>5</w:t>
            </w:r>
          </w:p>
        </w:tc>
        <w:tc>
          <w:tcPr>
            <w:tcW w:w="630" w:type="dxa"/>
          </w:tcPr>
          <w:p w14:paraId="4A1E628C"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c>
          <w:tcPr>
            <w:tcW w:w="720" w:type="dxa"/>
          </w:tcPr>
          <w:p w14:paraId="0AB763EA" w14:textId="77777777" w:rsidR="00D2643B" w:rsidRPr="00B440D4" w:rsidRDefault="00D2643B" w:rsidP="00402205">
            <w:pPr>
              <w:spacing w:before="60" w:after="60" w:line="240" w:lineRule="auto"/>
              <w:jc w:val="center"/>
              <w:rPr>
                <w:lang w:eastAsia="nb-NO"/>
              </w:rPr>
            </w:pPr>
            <w:r w:rsidRPr="00B440D4">
              <w:rPr>
                <w:sz w:val="22"/>
                <w:szCs w:val="22"/>
                <w:lang w:eastAsia="nb-NO"/>
              </w:rPr>
              <w:t>5</w:t>
            </w:r>
          </w:p>
        </w:tc>
        <w:tc>
          <w:tcPr>
            <w:tcW w:w="900" w:type="dxa"/>
          </w:tcPr>
          <w:p w14:paraId="3880AD53"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r>
      <w:tr w:rsidR="00D2643B" w:rsidRPr="00B440D4" w14:paraId="6D7B27DC" w14:textId="77777777" w:rsidTr="0032548A">
        <w:trPr>
          <w:trHeight w:val="270"/>
        </w:trPr>
        <w:tc>
          <w:tcPr>
            <w:tcW w:w="2268" w:type="dxa"/>
            <w:noWrap/>
          </w:tcPr>
          <w:p w14:paraId="20DA1FE6" w14:textId="77777777" w:rsidR="00D2643B" w:rsidRPr="00B440D4" w:rsidRDefault="00D2643B" w:rsidP="00402205">
            <w:pPr>
              <w:spacing w:before="60" w:after="60" w:line="240" w:lineRule="auto"/>
              <w:rPr>
                <w:lang w:eastAsia="nb-NO"/>
              </w:rPr>
            </w:pPr>
            <w:r w:rsidRPr="00B440D4">
              <w:rPr>
                <w:sz w:val="22"/>
                <w:szCs w:val="22"/>
                <w:lang w:eastAsia="nb-NO"/>
              </w:rPr>
              <w:t>8  Financials</w:t>
            </w:r>
          </w:p>
        </w:tc>
        <w:tc>
          <w:tcPr>
            <w:tcW w:w="990" w:type="dxa"/>
            <w:noWrap/>
          </w:tcPr>
          <w:p w14:paraId="6B068EB2" w14:textId="77777777" w:rsidR="00D2643B" w:rsidRPr="00B440D4" w:rsidRDefault="00D2643B" w:rsidP="00402205">
            <w:pPr>
              <w:spacing w:before="60" w:after="60" w:line="240" w:lineRule="auto"/>
              <w:jc w:val="center"/>
              <w:rPr>
                <w:lang w:eastAsia="nb-NO"/>
              </w:rPr>
            </w:pPr>
            <w:r w:rsidRPr="00B440D4">
              <w:rPr>
                <w:sz w:val="22"/>
                <w:szCs w:val="22"/>
                <w:lang w:eastAsia="nb-NO"/>
              </w:rPr>
              <w:t>16</w:t>
            </w:r>
          </w:p>
        </w:tc>
        <w:tc>
          <w:tcPr>
            <w:tcW w:w="900" w:type="dxa"/>
          </w:tcPr>
          <w:p w14:paraId="759D4230" w14:textId="77777777" w:rsidR="00D2643B" w:rsidRPr="00B440D4" w:rsidRDefault="0026272F" w:rsidP="00402205">
            <w:pPr>
              <w:spacing w:before="60" w:after="60" w:line="240" w:lineRule="auto"/>
              <w:jc w:val="center"/>
              <w:rPr>
                <w:lang w:eastAsia="nb-NO"/>
              </w:rPr>
            </w:pPr>
            <w:r>
              <w:rPr>
                <w:sz w:val="22"/>
                <w:szCs w:val="22"/>
                <w:lang w:eastAsia="nb-NO"/>
              </w:rPr>
              <w:t>10</w:t>
            </w:r>
          </w:p>
        </w:tc>
        <w:tc>
          <w:tcPr>
            <w:tcW w:w="810" w:type="dxa"/>
            <w:noWrap/>
          </w:tcPr>
          <w:p w14:paraId="2D0131A3" w14:textId="77777777" w:rsidR="00D2643B" w:rsidRPr="00B440D4" w:rsidRDefault="00D2643B" w:rsidP="00402205">
            <w:pPr>
              <w:spacing w:before="60" w:after="60" w:line="240" w:lineRule="auto"/>
              <w:jc w:val="center"/>
              <w:rPr>
                <w:lang w:eastAsia="nb-NO"/>
              </w:rPr>
            </w:pPr>
            <w:r w:rsidRPr="00B440D4">
              <w:rPr>
                <w:sz w:val="22"/>
                <w:szCs w:val="22"/>
                <w:lang w:eastAsia="nb-NO"/>
              </w:rPr>
              <w:t>21</w:t>
            </w:r>
          </w:p>
        </w:tc>
        <w:tc>
          <w:tcPr>
            <w:tcW w:w="990" w:type="dxa"/>
          </w:tcPr>
          <w:p w14:paraId="21D9F9FB" w14:textId="77777777" w:rsidR="00D2643B" w:rsidRPr="00B440D4" w:rsidRDefault="00D2643B" w:rsidP="00402205">
            <w:pPr>
              <w:spacing w:before="60" w:after="60" w:line="240" w:lineRule="auto"/>
              <w:jc w:val="center"/>
              <w:rPr>
                <w:lang w:eastAsia="nb-NO"/>
              </w:rPr>
            </w:pPr>
            <w:r w:rsidRPr="00B440D4">
              <w:rPr>
                <w:sz w:val="22"/>
                <w:szCs w:val="22"/>
                <w:lang w:eastAsia="nb-NO"/>
              </w:rPr>
              <w:t>7</w:t>
            </w:r>
          </w:p>
        </w:tc>
        <w:tc>
          <w:tcPr>
            <w:tcW w:w="810" w:type="dxa"/>
            <w:noWrap/>
          </w:tcPr>
          <w:p w14:paraId="4257DBC3" w14:textId="77777777" w:rsidR="00D2643B" w:rsidRPr="00B440D4" w:rsidRDefault="00D2643B" w:rsidP="00402205">
            <w:pPr>
              <w:spacing w:before="60" w:after="60" w:line="240" w:lineRule="auto"/>
              <w:jc w:val="center"/>
              <w:rPr>
                <w:lang w:eastAsia="nb-NO"/>
              </w:rPr>
            </w:pPr>
            <w:r w:rsidRPr="00B440D4">
              <w:rPr>
                <w:sz w:val="22"/>
                <w:szCs w:val="22"/>
                <w:lang w:eastAsia="nb-NO"/>
              </w:rPr>
              <w:t>4</w:t>
            </w:r>
          </w:p>
        </w:tc>
        <w:tc>
          <w:tcPr>
            <w:tcW w:w="720" w:type="dxa"/>
            <w:noWrap/>
          </w:tcPr>
          <w:p w14:paraId="3F96AFEA" w14:textId="77777777" w:rsidR="00D2643B" w:rsidRPr="00B440D4" w:rsidRDefault="00D2643B" w:rsidP="00402205">
            <w:pPr>
              <w:spacing w:before="60" w:after="60" w:line="240" w:lineRule="auto"/>
              <w:jc w:val="center"/>
              <w:rPr>
                <w:lang w:eastAsia="nb-NO"/>
              </w:rPr>
            </w:pPr>
            <w:r w:rsidRPr="00B440D4">
              <w:rPr>
                <w:sz w:val="22"/>
                <w:szCs w:val="22"/>
                <w:lang w:eastAsia="nb-NO"/>
              </w:rPr>
              <w:t>7</w:t>
            </w:r>
          </w:p>
        </w:tc>
        <w:tc>
          <w:tcPr>
            <w:tcW w:w="630" w:type="dxa"/>
          </w:tcPr>
          <w:p w14:paraId="12E78950" w14:textId="77777777" w:rsidR="00D2643B" w:rsidRPr="00B440D4" w:rsidRDefault="00D2643B" w:rsidP="00402205">
            <w:pPr>
              <w:spacing w:before="60" w:after="60" w:line="240" w:lineRule="auto"/>
              <w:jc w:val="center"/>
              <w:rPr>
                <w:lang w:eastAsia="nb-NO"/>
              </w:rPr>
            </w:pPr>
            <w:r w:rsidRPr="00B440D4">
              <w:rPr>
                <w:sz w:val="22"/>
                <w:szCs w:val="22"/>
                <w:lang w:eastAsia="nb-NO"/>
              </w:rPr>
              <w:t>3</w:t>
            </w:r>
          </w:p>
        </w:tc>
        <w:tc>
          <w:tcPr>
            <w:tcW w:w="720" w:type="dxa"/>
          </w:tcPr>
          <w:p w14:paraId="578B8BB7" w14:textId="77777777" w:rsidR="00D2643B" w:rsidRPr="00B440D4" w:rsidRDefault="00D2643B" w:rsidP="00402205">
            <w:pPr>
              <w:spacing w:before="60" w:after="60" w:line="240" w:lineRule="auto"/>
              <w:jc w:val="center"/>
              <w:rPr>
                <w:lang w:eastAsia="nb-NO"/>
              </w:rPr>
            </w:pPr>
            <w:r w:rsidRPr="00B440D4">
              <w:rPr>
                <w:sz w:val="22"/>
                <w:szCs w:val="22"/>
                <w:lang w:eastAsia="nb-NO"/>
              </w:rPr>
              <w:t>13</w:t>
            </w:r>
          </w:p>
        </w:tc>
        <w:tc>
          <w:tcPr>
            <w:tcW w:w="900" w:type="dxa"/>
          </w:tcPr>
          <w:p w14:paraId="1F7BDA87" w14:textId="77777777" w:rsidR="00D2643B" w:rsidRPr="00B440D4" w:rsidRDefault="00D2643B" w:rsidP="00402205">
            <w:pPr>
              <w:spacing w:before="60" w:after="60" w:line="240" w:lineRule="auto"/>
              <w:jc w:val="center"/>
              <w:rPr>
                <w:lang w:eastAsia="nb-NO"/>
              </w:rPr>
            </w:pPr>
            <w:r w:rsidRPr="00B440D4">
              <w:rPr>
                <w:sz w:val="22"/>
                <w:szCs w:val="22"/>
                <w:lang w:eastAsia="nb-NO"/>
              </w:rPr>
              <w:t>7</w:t>
            </w:r>
          </w:p>
        </w:tc>
      </w:tr>
      <w:tr w:rsidR="00D2643B" w:rsidRPr="00B440D4" w14:paraId="660B56B0" w14:textId="77777777" w:rsidTr="0032548A">
        <w:trPr>
          <w:trHeight w:val="255"/>
        </w:trPr>
        <w:tc>
          <w:tcPr>
            <w:tcW w:w="2268" w:type="dxa"/>
            <w:noWrap/>
          </w:tcPr>
          <w:p w14:paraId="28B51351" w14:textId="77777777" w:rsidR="00D2643B" w:rsidRPr="00B440D4" w:rsidRDefault="00D2643B" w:rsidP="00402205">
            <w:pPr>
              <w:spacing w:before="60" w:after="60" w:line="240" w:lineRule="auto"/>
              <w:rPr>
                <w:lang w:eastAsia="nb-NO"/>
              </w:rPr>
            </w:pPr>
            <w:r w:rsidRPr="00B440D4">
              <w:rPr>
                <w:sz w:val="22"/>
                <w:szCs w:val="22"/>
                <w:lang w:eastAsia="nb-NO"/>
              </w:rPr>
              <w:t>9  Technology</w:t>
            </w:r>
          </w:p>
        </w:tc>
        <w:tc>
          <w:tcPr>
            <w:tcW w:w="990" w:type="dxa"/>
            <w:noWrap/>
          </w:tcPr>
          <w:p w14:paraId="45B2CF96"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c>
          <w:tcPr>
            <w:tcW w:w="900" w:type="dxa"/>
          </w:tcPr>
          <w:p w14:paraId="77D27A11" w14:textId="77777777" w:rsidR="00D2643B" w:rsidRPr="00B440D4" w:rsidRDefault="008C678E" w:rsidP="00402205">
            <w:pPr>
              <w:spacing w:before="60" w:after="60" w:line="240" w:lineRule="auto"/>
              <w:jc w:val="center"/>
              <w:rPr>
                <w:lang w:eastAsia="nb-NO"/>
              </w:rPr>
            </w:pPr>
            <w:r>
              <w:rPr>
                <w:sz w:val="22"/>
                <w:szCs w:val="22"/>
                <w:lang w:eastAsia="nb-NO"/>
              </w:rPr>
              <w:t>0</w:t>
            </w:r>
          </w:p>
        </w:tc>
        <w:tc>
          <w:tcPr>
            <w:tcW w:w="810" w:type="dxa"/>
            <w:noWrap/>
          </w:tcPr>
          <w:p w14:paraId="60A1D071"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990" w:type="dxa"/>
          </w:tcPr>
          <w:p w14:paraId="3AC6590A"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810" w:type="dxa"/>
            <w:noWrap/>
          </w:tcPr>
          <w:p w14:paraId="6652B43D" w14:textId="77777777" w:rsidR="00D2643B" w:rsidRPr="00B440D4" w:rsidRDefault="00D2643B" w:rsidP="00402205">
            <w:pPr>
              <w:spacing w:before="60" w:after="60" w:line="240" w:lineRule="auto"/>
              <w:jc w:val="center"/>
              <w:rPr>
                <w:lang w:eastAsia="nb-NO"/>
              </w:rPr>
            </w:pPr>
            <w:r w:rsidRPr="00B440D4">
              <w:rPr>
                <w:sz w:val="22"/>
                <w:szCs w:val="22"/>
                <w:lang w:eastAsia="nb-NO"/>
              </w:rPr>
              <w:t>2</w:t>
            </w:r>
          </w:p>
        </w:tc>
        <w:tc>
          <w:tcPr>
            <w:tcW w:w="720" w:type="dxa"/>
            <w:noWrap/>
          </w:tcPr>
          <w:p w14:paraId="0DD97FAD"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630" w:type="dxa"/>
          </w:tcPr>
          <w:p w14:paraId="6C03B875"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c>
          <w:tcPr>
            <w:tcW w:w="720" w:type="dxa"/>
          </w:tcPr>
          <w:p w14:paraId="65C84B93" w14:textId="77777777" w:rsidR="00D2643B" w:rsidRPr="00B440D4" w:rsidRDefault="00D2643B" w:rsidP="00402205">
            <w:pPr>
              <w:spacing w:before="60" w:after="60" w:line="240" w:lineRule="auto"/>
              <w:jc w:val="center"/>
              <w:rPr>
                <w:lang w:eastAsia="nb-NO"/>
              </w:rPr>
            </w:pPr>
            <w:r w:rsidRPr="00B440D4">
              <w:rPr>
                <w:sz w:val="22"/>
                <w:szCs w:val="22"/>
                <w:lang w:eastAsia="nb-NO"/>
              </w:rPr>
              <w:t>0</w:t>
            </w:r>
          </w:p>
        </w:tc>
        <w:tc>
          <w:tcPr>
            <w:tcW w:w="900" w:type="dxa"/>
          </w:tcPr>
          <w:p w14:paraId="500835F8" w14:textId="77777777" w:rsidR="00D2643B" w:rsidRPr="00B440D4" w:rsidRDefault="00D2643B" w:rsidP="00402205">
            <w:pPr>
              <w:spacing w:before="60" w:after="60" w:line="240" w:lineRule="auto"/>
              <w:jc w:val="center"/>
              <w:rPr>
                <w:lang w:eastAsia="nb-NO"/>
              </w:rPr>
            </w:pPr>
            <w:r w:rsidRPr="00B440D4">
              <w:rPr>
                <w:sz w:val="22"/>
                <w:szCs w:val="22"/>
                <w:lang w:eastAsia="nb-NO"/>
              </w:rPr>
              <w:t>1</w:t>
            </w:r>
          </w:p>
        </w:tc>
      </w:tr>
      <w:tr w:rsidR="00D2643B" w:rsidRPr="00B440D4" w14:paraId="4226D64E" w14:textId="77777777" w:rsidTr="0032548A">
        <w:trPr>
          <w:trHeight w:val="255"/>
        </w:trPr>
        <w:tc>
          <w:tcPr>
            <w:tcW w:w="2268" w:type="dxa"/>
            <w:tcBorders>
              <w:bottom w:val="single" w:sz="4" w:space="0" w:color="auto"/>
            </w:tcBorders>
            <w:noWrap/>
          </w:tcPr>
          <w:p w14:paraId="5C0997D8" w14:textId="77777777" w:rsidR="00D2643B" w:rsidRPr="00B440D4" w:rsidRDefault="00D2643B" w:rsidP="00402205">
            <w:pPr>
              <w:spacing w:before="60" w:after="60" w:line="240" w:lineRule="auto"/>
              <w:rPr>
                <w:lang w:eastAsia="nb-NO"/>
              </w:rPr>
            </w:pPr>
            <w:r w:rsidRPr="00B440D4">
              <w:rPr>
                <w:sz w:val="22"/>
                <w:szCs w:val="22"/>
                <w:lang w:eastAsia="nb-NO"/>
              </w:rPr>
              <w:t>Total companies</w:t>
            </w:r>
          </w:p>
        </w:tc>
        <w:tc>
          <w:tcPr>
            <w:tcW w:w="990" w:type="dxa"/>
            <w:tcBorders>
              <w:bottom w:val="single" w:sz="4" w:space="0" w:color="auto"/>
            </w:tcBorders>
            <w:noWrap/>
          </w:tcPr>
          <w:p w14:paraId="7713279C" w14:textId="77777777" w:rsidR="00D2643B" w:rsidRPr="00B440D4" w:rsidRDefault="00D2643B" w:rsidP="00402205">
            <w:pPr>
              <w:spacing w:before="60" w:after="60" w:line="240" w:lineRule="auto"/>
              <w:jc w:val="center"/>
              <w:rPr>
                <w:lang w:eastAsia="nb-NO"/>
              </w:rPr>
            </w:pPr>
            <w:r w:rsidRPr="00B440D4">
              <w:rPr>
                <w:sz w:val="22"/>
                <w:szCs w:val="22"/>
                <w:lang w:eastAsia="nb-NO"/>
              </w:rPr>
              <w:t>40</w:t>
            </w:r>
          </w:p>
        </w:tc>
        <w:tc>
          <w:tcPr>
            <w:tcW w:w="900" w:type="dxa"/>
            <w:tcBorders>
              <w:bottom w:val="single" w:sz="4" w:space="0" w:color="auto"/>
            </w:tcBorders>
          </w:tcPr>
          <w:p w14:paraId="34E38C53" w14:textId="77777777" w:rsidR="00D2643B" w:rsidRPr="00B440D4" w:rsidRDefault="00457D35" w:rsidP="00402205">
            <w:pPr>
              <w:spacing w:before="60" w:after="60" w:line="240" w:lineRule="auto"/>
              <w:jc w:val="center"/>
              <w:rPr>
                <w:lang w:eastAsia="nb-NO"/>
              </w:rPr>
            </w:pPr>
            <w:r>
              <w:rPr>
                <w:sz w:val="22"/>
                <w:szCs w:val="22"/>
                <w:lang w:eastAsia="nb-NO"/>
              </w:rPr>
              <w:t>4</w:t>
            </w:r>
            <w:r w:rsidR="0043189D">
              <w:rPr>
                <w:sz w:val="22"/>
                <w:szCs w:val="22"/>
                <w:lang w:eastAsia="nb-NO"/>
              </w:rPr>
              <w:t>5</w:t>
            </w:r>
          </w:p>
        </w:tc>
        <w:tc>
          <w:tcPr>
            <w:tcW w:w="810" w:type="dxa"/>
            <w:tcBorders>
              <w:bottom w:val="single" w:sz="4" w:space="0" w:color="auto"/>
            </w:tcBorders>
            <w:noWrap/>
          </w:tcPr>
          <w:p w14:paraId="188B2159" w14:textId="77777777" w:rsidR="00D2643B" w:rsidRPr="00B440D4" w:rsidRDefault="00D2643B" w:rsidP="00402205">
            <w:pPr>
              <w:spacing w:before="60" w:after="60" w:line="240" w:lineRule="auto"/>
              <w:jc w:val="center"/>
              <w:rPr>
                <w:lang w:eastAsia="nb-NO"/>
              </w:rPr>
            </w:pPr>
            <w:r w:rsidRPr="00B440D4">
              <w:rPr>
                <w:sz w:val="22"/>
                <w:szCs w:val="22"/>
                <w:lang w:eastAsia="nb-NO"/>
              </w:rPr>
              <w:t>85</w:t>
            </w:r>
          </w:p>
        </w:tc>
        <w:tc>
          <w:tcPr>
            <w:tcW w:w="990" w:type="dxa"/>
            <w:tcBorders>
              <w:bottom w:val="single" w:sz="4" w:space="0" w:color="auto"/>
            </w:tcBorders>
          </w:tcPr>
          <w:p w14:paraId="2C8B1AF7" w14:textId="77777777" w:rsidR="00D2643B" w:rsidRPr="00B440D4" w:rsidRDefault="00D2643B" w:rsidP="00402205">
            <w:pPr>
              <w:spacing w:before="60" w:after="60" w:line="240" w:lineRule="auto"/>
              <w:jc w:val="center"/>
              <w:rPr>
                <w:lang w:eastAsia="nb-NO"/>
              </w:rPr>
            </w:pPr>
            <w:r w:rsidRPr="00B440D4">
              <w:rPr>
                <w:sz w:val="22"/>
                <w:szCs w:val="22"/>
                <w:lang w:eastAsia="nb-NO"/>
              </w:rPr>
              <w:t>30</w:t>
            </w:r>
          </w:p>
        </w:tc>
        <w:tc>
          <w:tcPr>
            <w:tcW w:w="810" w:type="dxa"/>
            <w:tcBorders>
              <w:bottom w:val="single" w:sz="4" w:space="0" w:color="auto"/>
            </w:tcBorders>
            <w:noWrap/>
          </w:tcPr>
          <w:p w14:paraId="6F964214" w14:textId="77777777" w:rsidR="00D2643B" w:rsidRPr="00B440D4" w:rsidRDefault="00D2643B" w:rsidP="00402205">
            <w:pPr>
              <w:spacing w:before="60" w:after="60" w:line="240" w:lineRule="auto"/>
              <w:jc w:val="center"/>
              <w:rPr>
                <w:lang w:eastAsia="nb-NO"/>
              </w:rPr>
            </w:pPr>
            <w:r w:rsidRPr="00B440D4">
              <w:rPr>
                <w:sz w:val="22"/>
                <w:szCs w:val="22"/>
                <w:lang w:eastAsia="nb-NO"/>
              </w:rPr>
              <w:t>34</w:t>
            </w:r>
          </w:p>
        </w:tc>
        <w:tc>
          <w:tcPr>
            <w:tcW w:w="720" w:type="dxa"/>
            <w:tcBorders>
              <w:bottom w:val="single" w:sz="4" w:space="0" w:color="auto"/>
            </w:tcBorders>
            <w:noWrap/>
          </w:tcPr>
          <w:p w14:paraId="7271FCFD" w14:textId="77777777" w:rsidR="00D2643B" w:rsidRPr="00B440D4" w:rsidRDefault="00D2643B" w:rsidP="00402205">
            <w:pPr>
              <w:spacing w:before="60" w:after="60" w:line="240" w:lineRule="auto"/>
              <w:jc w:val="center"/>
              <w:rPr>
                <w:lang w:eastAsia="nb-NO"/>
              </w:rPr>
            </w:pPr>
            <w:r w:rsidRPr="00B440D4">
              <w:rPr>
                <w:sz w:val="22"/>
                <w:szCs w:val="22"/>
                <w:lang w:eastAsia="nb-NO"/>
              </w:rPr>
              <w:t>28</w:t>
            </w:r>
          </w:p>
        </w:tc>
        <w:tc>
          <w:tcPr>
            <w:tcW w:w="630" w:type="dxa"/>
            <w:tcBorders>
              <w:bottom w:val="single" w:sz="4" w:space="0" w:color="auto"/>
            </w:tcBorders>
          </w:tcPr>
          <w:p w14:paraId="1A035C57" w14:textId="77777777" w:rsidR="00D2643B" w:rsidRPr="00B440D4" w:rsidRDefault="00D2643B" w:rsidP="00402205">
            <w:pPr>
              <w:spacing w:before="60" w:after="60" w:line="240" w:lineRule="auto"/>
              <w:jc w:val="center"/>
              <w:rPr>
                <w:lang w:eastAsia="nb-NO"/>
              </w:rPr>
            </w:pPr>
            <w:r w:rsidRPr="00B440D4">
              <w:rPr>
                <w:sz w:val="22"/>
                <w:szCs w:val="22"/>
                <w:lang w:eastAsia="nb-NO"/>
              </w:rPr>
              <w:t>17</w:t>
            </w:r>
          </w:p>
        </w:tc>
        <w:tc>
          <w:tcPr>
            <w:tcW w:w="720" w:type="dxa"/>
            <w:tcBorders>
              <w:bottom w:val="single" w:sz="4" w:space="0" w:color="auto"/>
            </w:tcBorders>
          </w:tcPr>
          <w:p w14:paraId="0DFA34C6" w14:textId="77777777" w:rsidR="00D2643B" w:rsidRPr="00B440D4" w:rsidRDefault="00D2643B" w:rsidP="00402205">
            <w:pPr>
              <w:spacing w:before="60" w:after="60" w:line="240" w:lineRule="auto"/>
              <w:jc w:val="center"/>
              <w:rPr>
                <w:lang w:eastAsia="nb-NO"/>
              </w:rPr>
            </w:pPr>
            <w:r w:rsidRPr="00B440D4">
              <w:rPr>
                <w:sz w:val="22"/>
                <w:szCs w:val="22"/>
                <w:lang w:eastAsia="nb-NO"/>
              </w:rPr>
              <w:t>27</w:t>
            </w:r>
          </w:p>
        </w:tc>
        <w:tc>
          <w:tcPr>
            <w:tcW w:w="900" w:type="dxa"/>
            <w:tcBorders>
              <w:bottom w:val="single" w:sz="4" w:space="0" w:color="auto"/>
            </w:tcBorders>
          </w:tcPr>
          <w:p w14:paraId="52C74820" w14:textId="77777777" w:rsidR="00D2643B" w:rsidRPr="00B440D4" w:rsidRDefault="00D2643B" w:rsidP="00402205">
            <w:pPr>
              <w:spacing w:before="60" w:after="60" w:line="240" w:lineRule="auto"/>
              <w:jc w:val="center"/>
              <w:rPr>
                <w:lang w:eastAsia="nb-NO"/>
              </w:rPr>
            </w:pPr>
            <w:r w:rsidRPr="00B440D4">
              <w:rPr>
                <w:sz w:val="22"/>
                <w:szCs w:val="22"/>
                <w:lang w:eastAsia="nb-NO"/>
              </w:rPr>
              <w:t>26</w:t>
            </w:r>
          </w:p>
        </w:tc>
      </w:tr>
    </w:tbl>
    <w:p w14:paraId="66F850A4" w14:textId="77777777" w:rsidR="00D2643B" w:rsidRDefault="00D2643B" w:rsidP="00402205">
      <w:pPr>
        <w:spacing w:after="0" w:line="240" w:lineRule="auto"/>
        <w:rPr>
          <w:vertAlign w:val="superscript"/>
        </w:rPr>
      </w:pPr>
    </w:p>
    <w:p w14:paraId="5F3A8967" w14:textId="77777777" w:rsidR="00D2643B" w:rsidRDefault="00D2643B" w:rsidP="00402205">
      <w:pPr>
        <w:spacing w:after="0" w:line="240" w:lineRule="auto"/>
        <w:rPr>
          <w:lang w:val="en-US"/>
        </w:rPr>
      </w:pPr>
      <w:r>
        <w:rPr>
          <w:vertAlign w:val="superscript"/>
        </w:rPr>
        <w:t>*</w:t>
      </w:r>
      <w:r>
        <w:t xml:space="preserve"> Sectors according to Industry Classification Benchmark.</w:t>
      </w:r>
    </w:p>
    <w:p w14:paraId="63B62ED9" w14:textId="77777777" w:rsidR="00D2643B" w:rsidRDefault="00D2643B" w:rsidP="00402205">
      <w:pPr>
        <w:rPr>
          <w:lang w:val="en-US"/>
        </w:rPr>
      </w:pPr>
    </w:p>
    <w:p w14:paraId="5F303364" w14:textId="77777777" w:rsidR="00D2643B" w:rsidRDefault="00D2643B" w:rsidP="00402205">
      <w:pPr>
        <w:jc w:val="center"/>
      </w:pPr>
    </w:p>
    <w:p w14:paraId="57306722" w14:textId="77777777" w:rsidR="00D2643B" w:rsidRDefault="00D2643B" w:rsidP="00402205">
      <w:pPr>
        <w:rPr>
          <w:b/>
        </w:rPr>
      </w:pPr>
      <w:r>
        <w:rPr>
          <w:b/>
        </w:rPr>
        <w:br w:type="page"/>
      </w:r>
    </w:p>
    <w:p w14:paraId="76F15B17" w14:textId="77777777" w:rsidR="00D2643B" w:rsidRDefault="00D2643B" w:rsidP="00402205">
      <w:pPr>
        <w:jc w:val="center"/>
        <w:rPr>
          <w:b/>
        </w:rPr>
      </w:pPr>
    </w:p>
    <w:tbl>
      <w:tblPr>
        <w:tblW w:w="10316" w:type="dxa"/>
        <w:tblInd w:w="-60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03"/>
        <w:gridCol w:w="2887"/>
        <w:gridCol w:w="803"/>
        <w:gridCol w:w="720"/>
        <w:gridCol w:w="693"/>
        <w:gridCol w:w="720"/>
        <w:gridCol w:w="720"/>
        <w:gridCol w:w="720"/>
        <w:gridCol w:w="720"/>
        <w:gridCol w:w="810"/>
        <w:gridCol w:w="720"/>
      </w:tblGrid>
      <w:tr w:rsidR="00D2643B" w:rsidRPr="00B440D4" w14:paraId="57FF508E" w14:textId="77777777" w:rsidTr="00B440D4">
        <w:trPr>
          <w:trHeight w:val="623"/>
        </w:trPr>
        <w:tc>
          <w:tcPr>
            <w:tcW w:w="10316" w:type="dxa"/>
            <w:gridSpan w:val="11"/>
            <w:tcBorders>
              <w:top w:val="single" w:sz="4" w:space="0" w:color="auto"/>
            </w:tcBorders>
          </w:tcPr>
          <w:p w14:paraId="24407619" w14:textId="77777777" w:rsidR="00D2643B" w:rsidRPr="00B440D4" w:rsidRDefault="00D2643B" w:rsidP="00B440D4">
            <w:pPr>
              <w:spacing w:before="240" w:after="120" w:line="240" w:lineRule="auto"/>
              <w:rPr>
                <w:b/>
              </w:rPr>
            </w:pPr>
            <w:r w:rsidRPr="00B440D4">
              <w:rPr>
                <w:b/>
              </w:rPr>
              <w:t>Table 7.</w:t>
            </w:r>
            <w:r w:rsidRPr="00B440D4">
              <w:t xml:space="preserve">  </w:t>
            </w:r>
            <w:r w:rsidRPr="00B440D4">
              <w:rPr>
                <w:b/>
              </w:rPr>
              <w:t>Policy choices (percentages of companies by country)</w:t>
            </w:r>
          </w:p>
        </w:tc>
      </w:tr>
      <w:tr w:rsidR="00D2643B" w:rsidRPr="00B440D4" w14:paraId="55A96E77" w14:textId="77777777" w:rsidTr="00B440D4">
        <w:trPr>
          <w:trHeight w:val="467"/>
        </w:trPr>
        <w:tc>
          <w:tcPr>
            <w:tcW w:w="803" w:type="dxa"/>
          </w:tcPr>
          <w:p w14:paraId="78C24F9E" w14:textId="77777777" w:rsidR="00D2643B" w:rsidRPr="00B440D4" w:rsidRDefault="00D2643B" w:rsidP="00B440D4">
            <w:pPr>
              <w:spacing w:after="0" w:line="480" w:lineRule="auto"/>
              <w:rPr>
                <w:sz w:val="20"/>
                <w:szCs w:val="20"/>
              </w:rPr>
            </w:pPr>
          </w:p>
        </w:tc>
        <w:tc>
          <w:tcPr>
            <w:tcW w:w="2887" w:type="dxa"/>
          </w:tcPr>
          <w:p w14:paraId="51756027" w14:textId="77777777" w:rsidR="00D2643B" w:rsidRPr="00B440D4" w:rsidRDefault="00D2643B" w:rsidP="00B440D4">
            <w:pPr>
              <w:spacing w:after="0" w:line="480" w:lineRule="auto"/>
              <w:rPr>
                <w:sz w:val="20"/>
                <w:szCs w:val="20"/>
              </w:rPr>
            </w:pPr>
          </w:p>
        </w:tc>
        <w:tc>
          <w:tcPr>
            <w:tcW w:w="803" w:type="dxa"/>
          </w:tcPr>
          <w:p w14:paraId="1EF68678" w14:textId="77777777" w:rsidR="00D2643B" w:rsidRPr="00B440D4" w:rsidRDefault="00D2643B" w:rsidP="00B440D4">
            <w:pPr>
              <w:spacing w:after="0" w:line="480" w:lineRule="auto"/>
              <w:jc w:val="center"/>
              <w:rPr>
                <w:b/>
                <w:sz w:val="20"/>
                <w:szCs w:val="20"/>
              </w:rPr>
            </w:pPr>
            <w:r w:rsidRPr="00B440D4">
              <w:rPr>
                <w:b/>
                <w:sz w:val="20"/>
                <w:szCs w:val="20"/>
              </w:rPr>
              <w:t>Aus</w:t>
            </w:r>
          </w:p>
        </w:tc>
        <w:tc>
          <w:tcPr>
            <w:tcW w:w="720" w:type="dxa"/>
          </w:tcPr>
          <w:p w14:paraId="72917C50" w14:textId="77777777" w:rsidR="00D2643B" w:rsidRPr="00B440D4" w:rsidRDefault="00D2643B" w:rsidP="00B440D4">
            <w:pPr>
              <w:spacing w:after="0" w:line="480" w:lineRule="auto"/>
              <w:jc w:val="center"/>
              <w:rPr>
                <w:b/>
                <w:sz w:val="20"/>
                <w:szCs w:val="20"/>
              </w:rPr>
            </w:pPr>
            <w:r w:rsidRPr="00B440D4">
              <w:rPr>
                <w:b/>
                <w:sz w:val="20"/>
                <w:szCs w:val="20"/>
              </w:rPr>
              <w:t xml:space="preserve">  Can</w:t>
            </w:r>
          </w:p>
        </w:tc>
        <w:tc>
          <w:tcPr>
            <w:tcW w:w="693" w:type="dxa"/>
          </w:tcPr>
          <w:p w14:paraId="525AF748" w14:textId="77777777" w:rsidR="00D2643B" w:rsidRPr="00B440D4" w:rsidRDefault="00D2643B" w:rsidP="00B440D4">
            <w:pPr>
              <w:spacing w:after="0" w:line="480" w:lineRule="auto"/>
              <w:jc w:val="center"/>
              <w:rPr>
                <w:b/>
                <w:sz w:val="20"/>
                <w:szCs w:val="20"/>
              </w:rPr>
            </w:pPr>
            <w:r w:rsidRPr="00B440D4">
              <w:rPr>
                <w:b/>
                <w:sz w:val="20"/>
                <w:szCs w:val="20"/>
              </w:rPr>
              <w:t>UK</w:t>
            </w:r>
          </w:p>
        </w:tc>
        <w:tc>
          <w:tcPr>
            <w:tcW w:w="720" w:type="dxa"/>
          </w:tcPr>
          <w:p w14:paraId="06CD667E" w14:textId="77777777" w:rsidR="00D2643B" w:rsidRPr="00B440D4" w:rsidRDefault="00D2643B" w:rsidP="00B440D4">
            <w:pPr>
              <w:spacing w:after="0" w:line="480" w:lineRule="auto"/>
              <w:jc w:val="center"/>
              <w:rPr>
                <w:b/>
                <w:sz w:val="20"/>
                <w:szCs w:val="20"/>
              </w:rPr>
            </w:pPr>
            <w:r w:rsidRPr="00B440D4">
              <w:rPr>
                <w:b/>
                <w:sz w:val="20"/>
                <w:szCs w:val="20"/>
              </w:rPr>
              <w:t>Ger</w:t>
            </w:r>
          </w:p>
        </w:tc>
        <w:tc>
          <w:tcPr>
            <w:tcW w:w="720" w:type="dxa"/>
          </w:tcPr>
          <w:p w14:paraId="10E1A161" w14:textId="77777777" w:rsidR="00D2643B" w:rsidRPr="00B440D4" w:rsidRDefault="00D2643B" w:rsidP="00B440D4">
            <w:pPr>
              <w:spacing w:after="0" w:line="480" w:lineRule="auto"/>
              <w:jc w:val="center"/>
              <w:rPr>
                <w:b/>
                <w:sz w:val="20"/>
                <w:szCs w:val="20"/>
              </w:rPr>
            </w:pPr>
            <w:r w:rsidRPr="00B440D4">
              <w:rPr>
                <w:b/>
                <w:sz w:val="20"/>
                <w:szCs w:val="20"/>
              </w:rPr>
              <w:t>Fra</w:t>
            </w:r>
          </w:p>
        </w:tc>
        <w:tc>
          <w:tcPr>
            <w:tcW w:w="720" w:type="dxa"/>
          </w:tcPr>
          <w:p w14:paraId="3AF8C328" w14:textId="77777777" w:rsidR="00D2643B" w:rsidRPr="00B440D4" w:rsidRDefault="00D2643B" w:rsidP="00B440D4">
            <w:pPr>
              <w:spacing w:after="0" w:line="480" w:lineRule="auto"/>
              <w:jc w:val="center"/>
              <w:rPr>
                <w:b/>
                <w:sz w:val="20"/>
                <w:szCs w:val="20"/>
              </w:rPr>
            </w:pPr>
            <w:r w:rsidRPr="00B440D4">
              <w:rPr>
                <w:b/>
                <w:sz w:val="20"/>
                <w:szCs w:val="20"/>
              </w:rPr>
              <w:t>Spa</w:t>
            </w:r>
          </w:p>
        </w:tc>
        <w:tc>
          <w:tcPr>
            <w:tcW w:w="720" w:type="dxa"/>
          </w:tcPr>
          <w:p w14:paraId="7463A2DB" w14:textId="77777777" w:rsidR="00D2643B" w:rsidRPr="00B440D4" w:rsidRDefault="00D2643B" w:rsidP="00B440D4">
            <w:pPr>
              <w:spacing w:after="0" w:line="480" w:lineRule="auto"/>
              <w:jc w:val="center"/>
              <w:rPr>
                <w:b/>
                <w:sz w:val="20"/>
                <w:szCs w:val="20"/>
              </w:rPr>
            </w:pPr>
            <w:r w:rsidRPr="00B440D4">
              <w:rPr>
                <w:b/>
                <w:sz w:val="20"/>
                <w:szCs w:val="20"/>
              </w:rPr>
              <w:t>NL</w:t>
            </w:r>
          </w:p>
        </w:tc>
        <w:tc>
          <w:tcPr>
            <w:tcW w:w="810" w:type="dxa"/>
          </w:tcPr>
          <w:p w14:paraId="2D6B96C8" w14:textId="77777777" w:rsidR="00D2643B" w:rsidRPr="00B440D4" w:rsidRDefault="00D2643B" w:rsidP="00B440D4">
            <w:pPr>
              <w:spacing w:after="0" w:line="480" w:lineRule="auto"/>
              <w:jc w:val="center"/>
              <w:rPr>
                <w:b/>
                <w:sz w:val="20"/>
                <w:szCs w:val="20"/>
              </w:rPr>
            </w:pPr>
            <w:r w:rsidRPr="00B440D4">
              <w:rPr>
                <w:b/>
                <w:sz w:val="20"/>
                <w:szCs w:val="20"/>
              </w:rPr>
              <w:t>Ita</w:t>
            </w:r>
          </w:p>
        </w:tc>
        <w:tc>
          <w:tcPr>
            <w:tcW w:w="720" w:type="dxa"/>
          </w:tcPr>
          <w:p w14:paraId="13844DCD" w14:textId="77777777" w:rsidR="00D2643B" w:rsidRPr="00B440D4" w:rsidRDefault="00D2643B" w:rsidP="00B440D4">
            <w:pPr>
              <w:tabs>
                <w:tab w:val="decimal" w:pos="342"/>
              </w:tabs>
              <w:spacing w:after="0" w:line="480" w:lineRule="auto"/>
              <w:jc w:val="center"/>
              <w:rPr>
                <w:b/>
                <w:sz w:val="20"/>
                <w:szCs w:val="20"/>
              </w:rPr>
            </w:pPr>
            <w:r w:rsidRPr="00B440D4">
              <w:rPr>
                <w:b/>
                <w:sz w:val="20"/>
                <w:szCs w:val="20"/>
              </w:rPr>
              <w:t>Swe</w:t>
            </w:r>
          </w:p>
        </w:tc>
      </w:tr>
      <w:tr w:rsidR="00D2643B" w:rsidRPr="00B440D4" w14:paraId="1131C947" w14:textId="77777777" w:rsidTr="00B440D4">
        <w:trPr>
          <w:trHeight w:val="329"/>
        </w:trPr>
        <w:tc>
          <w:tcPr>
            <w:tcW w:w="803" w:type="dxa"/>
          </w:tcPr>
          <w:p w14:paraId="5FFF9F86" w14:textId="77777777" w:rsidR="00D2643B" w:rsidRPr="00B440D4" w:rsidRDefault="00D2643B" w:rsidP="00B440D4">
            <w:pPr>
              <w:spacing w:after="0" w:line="360" w:lineRule="auto"/>
              <w:rPr>
                <w:sz w:val="20"/>
                <w:szCs w:val="20"/>
              </w:rPr>
            </w:pPr>
            <w:r w:rsidRPr="00B440D4">
              <w:rPr>
                <w:sz w:val="20"/>
                <w:szCs w:val="20"/>
              </w:rPr>
              <w:t>1 (b)*</w:t>
            </w:r>
          </w:p>
        </w:tc>
        <w:tc>
          <w:tcPr>
            <w:tcW w:w="2887" w:type="dxa"/>
          </w:tcPr>
          <w:p w14:paraId="6C97BEC7" w14:textId="77777777" w:rsidR="00D2643B" w:rsidRPr="00B440D4" w:rsidRDefault="00D2643B" w:rsidP="00B440D4">
            <w:pPr>
              <w:spacing w:after="0" w:line="360" w:lineRule="auto"/>
              <w:rPr>
                <w:sz w:val="20"/>
                <w:szCs w:val="20"/>
              </w:rPr>
            </w:pPr>
            <w:r w:rsidRPr="00B440D4">
              <w:rPr>
                <w:sz w:val="20"/>
                <w:szCs w:val="20"/>
              </w:rPr>
              <w:t>Balance sheet shows net assets</w:t>
            </w:r>
          </w:p>
        </w:tc>
        <w:tc>
          <w:tcPr>
            <w:tcW w:w="803" w:type="dxa"/>
          </w:tcPr>
          <w:p w14:paraId="147ED61A" w14:textId="77777777" w:rsidR="00D2643B" w:rsidRPr="00B440D4" w:rsidRDefault="00D2643B" w:rsidP="00B440D4">
            <w:pPr>
              <w:tabs>
                <w:tab w:val="decimal" w:pos="282"/>
              </w:tabs>
              <w:spacing w:after="0" w:line="360" w:lineRule="auto"/>
              <w:rPr>
                <w:sz w:val="20"/>
                <w:szCs w:val="20"/>
              </w:rPr>
            </w:pPr>
            <w:r w:rsidRPr="00B440D4">
              <w:rPr>
                <w:sz w:val="20"/>
                <w:szCs w:val="20"/>
              </w:rPr>
              <w:t>100.0</w:t>
            </w:r>
          </w:p>
        </w:tc>
        <w:tc>
          <w:tcPr>
            <w:tcW w:w="720" w:type="dxa"/>
          </w:tcPr>
          <w:p w14:paraId="60E85605" w14:textId="77777777" w:rsidR="00D2643B" w:rsidRPr="00B440D4" w:rsidRDefault="00D2643B" w:rsidP="00B440D4">
            <w:pPr>
              <w:tabs>
                <w:tab w:val="decimal" w:pos="252"/>
              </w:tabs>
              <w:spacing w:after="0" w:line="360" w:lineRule="auto"/>
              <w:jc w:val="center"/>
              <w:rPr>
                <w:sz w:val="20"/>
                <w:szCs w:val="20"/>
              </w:rPr>
            </w:pPr>
            <w:r w:rsidRPr="00B440D4">
              <w:rPr>
                <w:sz w:val="20"/>
                <w:szCs w:val="20"/>
              </w:rPr>
              <w:t>0.0</w:t>
            </w:r>
          </w:p>
        </w:tc>
        <w:tc>
          <w:tcPr>
            <w:tcW w:w="693" w:type="dxa"/>
          </w:tcPr>
          <w:p w14:paraId="4C38EEF5" w14:textId="77777777" w:rsidR="00D2643B" w:rsidRPr="00B440D4" w:rsidRDefault="00D2643B" w:rsidP="00B440D4">
            <w:pPr>
              <w:tabs>
                <w:tab w:val="decimal" w:pos="282"/>
              </w:tabs>
              <w:spacing w:after="0" w:line="360" w:lineRule="auto"/>
              <w:rPr>
                <w:sz w:val="20"/>
                <w:szCs w:val="20"/>
              </w:rPr>
            </w:pPr>
            <w:r w:rsidRPr="00B440D4">
              <w:rPr>
                <w:sz w:val="20"/>
                <w:szCs w:val="20"/>
              </w:rPr>
              <w:t xml:space="preserve"> 85.2</w:t>
            </w:r>
          </w:p>
        </w:tc>
        <w:tc>
          <w:tcPr>
            <w:tcW w:w="720" w:type="dxa"/>
          </w:tcPr>
          <w:p w14:paraId="3F34117C" w14:textId="77777777" w:rsidR="00D2643B" w:rsidRPr="00B440D4" w:rsidRDefault="00D2643B" w:rsidP="00B440D4">
            <w:pPr>
              <w:tabs>
                <w:tab w:val="decimal" w:pos="282"/>
              </w:tabs>
              <w:spacing w:after="0" w:line="360" w:lineRule="auto"/>
              <w:rPr>
                <w:sz w:val="20"/>
                <w:szCs w:val="20"/>
              </w:rPr>
            </w:pPr>
            <w:r w:rsidRPr="00B440D4">
              <w:rPr>
                <w:sz w:val="20"/>
                <w:szCs w:val="20"/>
              </w:rPr>
              <w:t>0.0</w:t>
            </w:r>
          </w:p>
        </w:tc>
        <w:tc>
          <w:tcPr>
            <w:tcW w:w="720" w:type="dxa"/>
          </w:tcPr>
          <w:p w14:paraId="4B8F8BC7" w14:textId="77777777" w:rsidR="00D2643B" w:rsidRPr="00B440D4" w:rsidRDefault="00D2643B" w:rsidP="00B440D4">
            <w:pPr>
              <w:tabs>
                <w:tab w:val="decimal" w:pos="282"/>
              </w:tabs>
              <w:spacing w:after="0" w:line="360" w:lineRule="auto"/>
              <w:rPr>
                <w:sz w:val="20"/>
                <w:szCs w:val="20"/>
              </w:rPr>
            </w:pPr>
            <w:r w:rsidRPr="00B440D4">
              <w:rPr>
                <w:sz w:val="20"/>
                <w:szCs w:val="20"/>
              </w:rPr>
              <w:t>0.0</w:t>
            </w:r>
          </w:p>
        </w:tc>
        <w:tc>
          <w:tcPr>
            <w:tcW w:w="720" w:type="dxa"/>
          </w:tcPr>
          <w:p w14:paraId="5CF220F1" w14:textId="77777777" w:rsidR="00D2643B" w:rsidRPr="00B440D4" w:rsidRDefault="00D2643B" w:rsidP="00B440D4">
            <w:pPr>
              <w:tabs>
                <w:tab w:val="decimal" w:pos="282"/>
              </w:tabs>
              <w:spacing w:after="0" w:line="360" w:lineRule="auto"/>
              <w:rPr>
                <w:sz w:val="20"/>
                <w:szCs w:val="20"/>
              </w:rPr>
            </w:pPr>
            <w:r w:rsidRPr="00B440D4">
              <w:rPr>
                <w:sz w:val="20"/>
                <w:szCs w:val="20"/>
              </w:rPr>
              <w:t>0.0</w:t>
            </w:r>
          </w:p>
        </w:tc>
        <w:tc>
          <w:tcPr>
            <w:tcW w:w="720" w:type="dxa"/>
          </w:tcPr>
          <w:p w14:paraId="4FE69A9C" w14:textId="77777777" w:rsidR="00D2643B" w:rsidRPr="00B440D4" w:rsidRDefault="00D2643B" w:rsidP="00B440D4">
            <w:pPr>
              <w:tabs>
                <w:tab w:val="decimal" w:pos="282"/>
              </w:tabs>
              <w:spacing w:after="0" w:line="360" w:lineRule="auto"/>
              <w:rPr>
                <w:sz w:val="20"/>
                <w:szCs w:val="20"/>
              </w:rPr>
            </w:pPr>
            <w:r w:rsidRPr="00B440D4">
              <w:rPr>
                <w:sz w:val="20"/>
                <w:szCs w:val="20"/>
              </w:rPr>
              <w:t>14.3</w:t>
            </w:r>
          </w:p>
        </w:tc>
        <w:tc>
          <w:tcPr>
            <w:tcW w:w="810" w:type="dxa"/>
          </w:tcPr>
          <w:p w14:paraId="5CC64370" w14:textId="77777777" w:rsidR="00D2643B" w:rsidRPr="00B440D4" w:rsidRDefault="00D2643B" w:rsidP="00B440D4">
            <w:pPr>
              <w:tabs>
                <w:tab w:val="decimal" w:pos="282"/>
              </w:tabs>
              <w:spacing w:after="0" w:line="360" w:lineRule="auto"/>
              <w:rPr>
                <w:sz w:val="20"/>
                <w:szCs w:val="20"/>
              </w:rPr>
            </w:pPr>
            <w:r w:rsidRPr="00B440D4">
              <w:rPr>
                <w:sz w:val="20"/>
                <w:szCs w:val="20"/>
              </w:rPr>
              <w:t>0.0</w:t>
            </w:r>
          </w:p>
        </w:tc>
        <w:tc>
          <w:tcPr>
            <w:tcW w:w="720" w:type="dxa"/>
          </w:tcPr>
          <w:p w14:paraId="3D1607B0"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0.0</w:t>
            </w:r>
          </w:p>
        </w:tc>
      </w:tr>
      <w:tr w:rsidR="00D2643B" w:rsidRPr="00B440D4" w14:paraId="30404E7D" w14:textId="77777777" w:rsidTr="00B440D4">
        <w:trPr>
          <w:trHeight w:val="346"/>
        </w:trPr>
        <w:tc>
          <w:tcPr>
            <w:tcW w:w="803" w:type="dxa"/>
          </w:tcPr>
          <w:p w14:paraId="3E035035" w14:textId="77777777" w:rsidR="00D2643B" w:rsidRPr="00B440D4" w:rsidRDefault="00D2643B" w:rsidP="00B440D4">
            <w:pPr>
              <w:spacing w:after="0" w:line="360" w:lineRule="auto"/>
              <w:rPr>
                <w:sz w:val="20"/>
                <w:szCs w:val="20"/>
              </w:rPr>
            </w:pPr>
            <w:r w:rsidRPr="00B440D4">
              <w:rPr>
                <w:sz w:val="20"/>
                <w:szCs w:val="20"/>
              </w:rPr>
              <w:t>2 (a)*</w:t>
            </w:r>
          </w:p>
        </w:tc>
        <w:tc>
          <w:tcPr>
            <w:tcW w:w="2887" w:type="dxa"/>
          </w:tcPr>
          <w:p w14:paraId="2028C990" w14:textId="77777777" w:rsidR="00D2643B" w:rsidRPr="00B440D4" w:rsidRDefault="00D2643B" w:rsidP="00B440D4">
            <w:pPr>
              <w:spacing w:after="0" w:line="360" w:lineRule="auto"/>
              <w:rPr>
                <w:sz w:val="20"/>
                <w:szCs w:val="20"/>
              </w:rPr>
            </w:pPr>
            <w:r w:rsidRPr="00B440D4">
              <w:rPr>
                <w:sz w:val="20"/>
                <w:szCs w:val="20"/>
              </w:rPr>
              <w:t>Cash at top of balance sheet</w:t>
            </w:r>
          </w:p>
        </w:tc>
        <w:tc>
          <w:tcPr>
            <w:tcW w:w="803" w:type="dxa"/>
          </w:tcPr>
          <w:p w14:paraId="57C957A7" w14:textId="77777777" w:rsidR="00D2643B" w:rsidRPr="00B440D4" w:rsidRDefault="00D2643B" w:rsidP="00B440D4">
            <w:pPr>
              <w:tabs>
                <w:tab w:val="decimal" w:pos="282"/>
              </w:tabs>
              <w:spacing w:after="0" w:line="360" w:lineRule="auto"/>
              <w:rPr>
                <w:sz w:val="20"/>
                <w:szCs w:val="20"/>
              </w:rPr>
            </w:pPr>
            <w:r w:rsidRPr="00B440D4">
              <w:rPr>
                <w:sz w:val="20"/>
                <w:szCs w:val="20"/>
              </w:rPr>
              <w:t>100.0</w:t>
            </w:r>
          </w:p>
        </w:tc>
        <w:tc>
          <w:tcPr>
            <w:tcW w:w="720" w:type="dxa"/>
          </w:tcPr>
          <w:p w14:paraId="6234804D" w14:textId="77777777" w:rsidR="00D2643B" w:rsidRPr="00B440D4" w:rsidRDefault="00D2643B" w:rsidP="00B440D4">
            <w:pPr>
              <w:tabs>
                <w:tab w:val="decimal" w:pos="252"/>
              </w:tabs>
              <w:spacing w:after="0" w:line="360" w:lineRule="auto"/>
              <w:jc w:val="center"/>
              <w:rPr>
                <w:sz w:val="20"/>
                <w:szCs w:val="20"/>
              </w:rPr>
            </w:pPr>
            <w:r w:rsidRPr="00B440D4">
              <w:rPr>
                <w:sz w:val="20"/>
                <w:szCs w:val="20"/>
              </w:rPr>
              <w:t>100.0</w:t>
            </w:r>
          </w:p>
        </w:tc>
        <w:tc>
          <w:tcPr>
            <w:tcW w:w="693" w:type="dxa"/>
          </w:tcPr>
          <w:p w14:paraId="132AF3A0" w14:textId="77777777" w:rsidR="00D2643B" w:rsidRPr="00B440D4" w:rsidRDefault="00D2643B" w:rsidP="00B440D4">
            <w:pPr>
              <w:tabs>
                <w:tab w:val="decimal" w:pos="282"/>
              </w:tabs>
              <w:spacing w:after="0" w:line="360" w:lineRule="auto"/>
              <w:rPr>
                <w:sz w:val="20"/>
                <w:szCs w:val="20"/>
              </w:rPr>
            </w:pPr>
            <w:r w:rsidRPr="00B440D4">
              <w:rPr>
                <w:sz w:val="20"/>
                <w:szCs w:val="20"/>
              </w:rPr>
              <w:t>0.0</w:t>
            </w:r>
          </w:p>
        </w:tc>
        <w:tc>
          <w:tcPr>
            <w:tcW w:w="720" w:type="dxa"/>
          </w:tcPr>
          <w:p w14:paraId="71D0F8F2" w14:textId="77777777" w:rsidR="00D2643B" w:rsidRPr="00B440D4" w:rsidRDefault="00D2643B" w:rsidP="00B440D4">
            <w:pPr>
              <w:tabs>
                <w:tab w:val="decimal" w:pos="282"/>
              </w:tabs>
              <w:spacing w:after="0" w:line="360" w:lineRule="auto"/>
              <w:rPr>
                <w:sz w:val="20"/>
                <w:szCs w:val="20"/>
              </w:rPr>
            </w:pPr>
            <w:r w:rsidRPr="00B440D4">
              <w:rPr>
                <w:sz w:val="20"/>
                <w:szCs w:val="20"/>
              </w:rPr>
              <w:t>30.4</w:t>
            </w:r>
          </w:p>
        </w:tc>
        <w:tc>
          <w:tcPr>
            <w:tcW w:w="720" w:type="dxa"/>
          </w:tcPr>
          <w:p w14:paraId="78EB421D" w14:textId="77777777" w:rsidR="00D2643B" w:rsidRPr="00B440D4" w:rsidRDefault="00D2643B" w:rsidP="00B440D4">
            <w:pPr>
              <w:tabs>
                <w:tab w:val="decimal" w:pos="282"/>
              </w:tabs>
              <w:spacing w:after="0" w:line="360" w:lineRule="auto"/>
              <w:rPr>
                <w:sz w:val="20"/>
                <w:szCs w:val="20"/>
              </w:rPr>
            </w:pPr>
            <w:r w:rsidRPr="00B440D4">
              <w:rPr>
                <w:sz w:val="20"/>
                <w:szCs w:val="20"/>
              </w:rPr>
              <w:t>0.0</w:t>
            </w:r>
          </w:p>
        </w:tc>
        <w:tc>
          <w:tcPr>
            <w:tcW w:w="720" w:type="dxa"/>
          </w:tcPr>
          <w:p w14:paraId="74544972" w14:textId="77777777" w:rsidR="00D2643B" w:rsidRPr="00B440D4" w:rsidRDefault="00D2643B" w:rsidP="00B440D4">
            <w:pPr>
              <w:tabs>
                <w:tab w:val="decimal" w:pos="282"/>
              </w:tabs>
              <w:spacing w:after="0" w:line="360" w:lineRule="auto"/>
              <w:rPr>
                <w:sz w:val="20"/>
                <w:szCs w:val="20"/>
              </w:rPr>
            </w:pPr>
            <w:r w:rsidRPr="00B440D4">
              <w:rPr>
                <w:sz w:val="20"/>
                <w:szCs w:val="20"/>
              </w:rPr>
              <w:t>4.8</w:t>
            </w:r>
          </w:p>
        </w:tc>
        <w:tc>
          <w:tcPr>
            <w:tcW w:w="720" w:type="dxa"/>
          </w:tcPr>
          <w:p w14:paraId="60927E71" w14:textId="77777777" w:rsidR="00D2643B" w:rsidRPr="00B440D4" w:rsidRDefault="00D2643B" w:rsidP="00B440D4">
            <w:pPr>
              <w:tabs>
                <w:tab w:val="decimal" w:pos="282"/>
              </w:tabs>
              <w:spacing w:after="0" w:line="360" w:lineRule="auto"/>
              <w:rPr>
                <w:sz w:val="20"/>
                <w:szCs w:val="20"/>
              </w:rPr>
            </w:pPr>
            <w:r w:rsidRPr="00B440D4">
              <w:rPr>
                <w:sz w:val="20"/>
                <w:szCs w:val="20"/>
              </w:rPr>
              <w:t>14.3</w:t>
            </w:r>
          </w:p>
        </w:tc>
        <w:tc>
          <w:tcPr>
            <w:tcW w:w="810" w:type="dxa"/>
          </w:tcPr>
          <w:p w14:paraId="6F09A1C5" w14:textId="77777777" w:rsidR="00D2643B" w:rsidRPr="00B440D4" w:rsidRDefault="00D2643B" w:rsidP="00B440D4">
            <w:pPr>
              <w:tabs>
                <w:tab w:val="decimal" w:pos="282"/>
              </w:tabs>
              <w:spacing w:after="0" w:line="360" w:lineRule="auto"/>
              <w:rPr>
                <w:sz w:val="20"/>
                <w:szCs w:val="20"/>
              </w:rPr>
            </w:pPr>
            <w:r w:rsidRPr="00B440D4">
              <w:rPr>
                <w:sz w:val="20"/>
                <w:szCs w:val="20"/>
              </w:rPr>
              <w:t>21.4</w:t>
            </w:r>
          </w:p>
        </w:tc>
        <w:tc>
          <w:tcPr>
            <w:tcW w:w="720" w:type="dxa"/>
          </w:tcPr>
          <w:p w14:paraId="5F8FF1E9"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0.0</w:t>
            </w:r>
          </w:p>
        </w:tc>
      </w:tr>
      <w:tr w:rsidR="00D2643B" w:rsidRPr="00B440D4" w14:paraId="550D2DCB" w14:textId="77777777" w:rsidTr="00B440D4">
        <w:trPr>
          <w:trHeight w:val="346"/>
        </w:trPr>
        <w:tc>
          <w:tcPr>
            <w:tcW w:w="803" w:type="dxa"/>
          </w:tcPr>
          <w:p w14:paraId="2E0FD8E5" w14:textId="77777777" w:rsidR="00D2643B" w:rsidRPr="00B440D4" w:rsidRDefault="00D2643B" w:rsidP="00B440D4">
            <w:pPr>
              <w:spacing w:after="0" w:line="360" w:lineRule="auto"/>
              <w:rPr>
                <w:sz w:val="20"/>
                <w:szCs w:val="20"/>
              </w:rPr>
            </w:pPr>
            <w:r w:rsidRPr="00B440D4">
              <w:rPr>
                <w:sz w:val="20"/>
                <w:szCs w:val="20"/>
              </w:rPr>
              <w:t>3 (a)*</w:t>
            </w:r>
          </w:p>
        </w:tc>
        <w:tc>
          <w:tcPr>
            <w:tcW w:w="2887" w:type="dxa"/>
          </w:tcPr>
          <w:p w14:paraId="3100879C" w14:textId="77777777" w:rsidR="00D2643B" w:rsidRPr="00B440D4" w:rsidRDefault="00D2643B" w:rsidP="00B440D4">
            <w:pPr>
              <w:spacing w:after="0" w:line="360" w:lineRule="auto"/>
              <w:rPr>
                <w:sz w:val="20"/>
                <w:szCs w:val="20"/>
              </w:rPr>
            </w:pPr>
            <w:r w:rsidRPr="00B440D4">
              <w:rPr>
                <w:sz w:val="20"/>
                <w:szCs w:val="20"/>
              </w:rPr>
              <w:t>Income statement by function</w:t>
            </w:r>
          </w:p>
        </w:tc>
        <w:tc>
          <w:tcPr>
            <w:tcW w:w="803" w:type="dxa"/>
          </w:tcPr>
          <w:p w14:paraId="7C5F2AE8" w14:textId="77777777" w:rsidR="00D2643B" w:rsidRPr="00B440D4" w:rsidRDefault="00D2643B" w:rsidP="00B440D4">
            <w:pPr>
              <w:tabs>
                <w:tab w:val="decimal" w:pos="282"/>
              </w:tabs>
              <w:spacing w:after="0" w:line="360" w:lineRule="auto"/>
              <w:rPr>
                <w:sz w:val="20"/>
                <w:szCs w:val="20"/>
              </w:rPr>
            </w:pPr>
            <w:r w:rsidRPr="00B440D4">
              <w:rPr>
                <w:sz w:val="20"/>
                <w:szCs w:val="20"/>
              </w:rPr>
              <w:t>58.3</w:t>
            </w:r>
          </w:p>
        </w:tc>
        <w:tc>
          <w:tcPr>
            <w:tcW w:w="720" w:type="dxa"/>
          </w:tcPr>
          <w:p w14:paraId="69FE122C" w14:textId="77777777" w:rsidR="00D2643B" w:rsidRPr="00B440D4" w:rsidRDefault="00D2643B" w:rsidP="00B440D4">
            <w:pPr>
              <w:tabs>
                <w:tab w:val="decimal" w:pos="252"/>
              </w:tabs>
              <w:spacing w:after="0" w:line="360" w:lineRule="auto"/>
              <w:jc w:val="center"/>
              <w:rPr>
                <w:sz w:val="20"/>
                <w:szCs w:val="20"/>
              </w:rPr>
            </w:pPr>
            <w:r w:rsidRPr="00B440D4">
              <w:rPr>
                <w:sz w:val="20"/>
                <w:szCs w:val="20"/>
              </w:rPr>
              <w:t>8</w:t>
            </w:r>
            <w:r>
              <w:rPr>
                <w:sz w:val="20"/>
                <w:szCs w:val="20"/>
              </w:rPr>
              <w:t>7.5</w:t>
            </w:r>
          </w:p>
        </w:tc>
        <w:tc>
          <w:tcPr>
            <w:tcW w:w="693" w:type="dxa"/>
          </w:tcPr>
          <w:p w14:paraId="530C009E" w14:textId="77777777" w:rsidR="00D2643B" w:rsidRPr="00B440D4" w:rsidRDefault="00D2643B" w:rsidP="00B440D4">
            <w:pPr>
              <w:tabs>
                <w:tab w:val="decimal" w:pos="282"/>
              </w:tabs>
              <w:spacing w:after="0" w:line="360" w:lineRule="auto"/>
              <w:rPr>
                <w:sz w:val="20"/>
                <w:szCs w:val="20"/>
              </w:rPr>
            </w:pPr>
            <w:r w:rsidRPr="00B440D4">
              <w:rPr>
                <w:sz w:val="20"/>
                <w:szCs w:val="20"/>
              </w:rPr>
              <w:t>82.1</w:t>
            </w:r>
          </w:p>
        </w:tc>
        <w:tc>
          <w:tcPr>
            <w:tcW w:w="720" w:type="dxa"/>
          </w:tcPr>
          <w:p w14:paraId="0E80970D" w14:textId="77777777" w:rsidR="00D2643B" w:rsidRPr="00B440D4" w:rsidRDefault="00D2643B" w:rsidP="00B440D4">
            <w:pPr>
              <w:tabs>
                <w:tab w:val="decimal" w:pos="282"/>
              </w:tabs>
              <w:spacing w:after="0" w:line="360" w:lineRule="auto"/>
              <w:rPr>
                <w:sz w:val="20"/>
                <w:szCs w:val="20"/>
              </w:rPr>
            </w:pPr>
            <w:r w:rsidRPr="00B440D4">
              <w:rPr>
                <w:sz w:val="20"/>
                <w:szCs w:val="20"/>
              </w:rPr>
              <w:t>82.6</w:t>
            </w:r>
          </w:p>
        </w:tc>
        <w:tc>
          <w:tcPr>
            <w:tcW w:w="720" w:type="dxa"/>
          </w:tcPr>
          <w:p w14:paraId="762F858B" w14:textId="77777777" w:rsidR="00D2643B" w:rsidRPr="00B440D4" w:rsidRDefault="00D2643B" w:rsidP="00B440D4">
            <w:pPr>
              <w:tabs>
                <w:tab w:val="decimal" w:pos="282"/>
              </w:tabs>
              <w:spacing w:after="0" w:line="360" w:lineRule="auto"/>
              <w:rPr>
                <w:sz w:val="20"/>
                <w:szCs w:val="20"/>
              </w:rPr>
            </w:pPr>
            <w:r w:rsidRPr="00B440D4">
              <w:rPr>
                <w:sz w:val="20"/>
                <w:szCs w:val="20"/>
              </w:rPr>
              <w:t>62.1</w:t>
            </w:r>
          </w:p>
        </w:tc>
        <w:tc>
          <w:tcPr>
            <w:tcW w:w="720" w:type="dxa"/>
          </w:tcPr>
          <w:p w14:paraId="18230BB3" w14:textId="77777777" w:rsidR="00D2643B" w:rsidRPr="00B440D4" w:rsidRDefault="00D2643B" w:rsidP="00B440D4">
            <w:pPr>
              <w:tabs>
                <w:tab w:val="decimal" w:pos="282"/>
              </w:tabs>
              <w:spacing w:after="0" w:line="360" w:lineRule="auto"/>
              <w:rPr>
                <w:sz w:val="20"/>
                <w:szCs w:val="20"/>
              </w:rPr>
            </w:pPr>
            <w:r w:rsidRPr="00B440D4">
              <w:rPr>
                <w:sz w:val="20"/>
                <w:szCs w:val="20"/>
              </w:rPr>
              <w:t>4.8</w:t>
            </w:r>
          </w:p>
        </w:tc>
        <w:tc>
          <w:tcPr>
            <w:tcW w:w="720" w:type="dxa"/>
          </w:tcPr>
          <w:p w14:paraId="1384A294" w14:textId="77777777" w:rsidR="00D2643B" w:rsidRPr="00B440D4" w:rsidRDefault="00D2643B" w:rsidP="00B440D4">
            <w:pPr>
              <w:tabs>
                <w:tab w:val="decimal" w:pos="282"/>
              </w:tabs>
              <w:spacing w:after="0" w:line="360" w:lineRule="auto"/>
              <w:rPr>
                <w:sz w:val="20"/>
                <w:szCs w:val="20"/>
              </w:rPr>
            </w:pPr>
            <w:r w:rsidRPr="00B440D4">
              <w:rPr>
                <w:sz w:val="20"/>
                <w:szCs w:val="20"/>
              </w:rPr>
              <w:t>50.0</w:t>
            </w:r>
          </w:p>
        </w:tc>
        <w:tc>
          <w:tcPr>
            <w:tcW w:w="810" w:type="dxa"/>
          </w:tcPr>
          <w:p w14:paraId="625DC55B" w14:textId="77777777" w:rsidR="00D2643B" w:rsidRPr="00B440D4" w:rsidRDefault="00D2643B" w:rsidP="00B440D4">
            <w:pPr>
              <w:tabs>
                <w:tab w:val="decimal" w:pos="282"/>
              </w:tabs>
              <w:spacing w:after="0" w:line="360" w:lineRule="auto"/>
              <w:rPr>
                <w:sz w:val="20"/>
                <w:szCs w:val="20"/>
              </w:rPr>
            </w:pPr>
            <w:r w:rsidRPr="00B440D4">
              <w:rPr>
                <w:sz w:val="20"/>
                <w:szCs w:val="20"/>
              </w:rPr>
              <w:t>7.1</w:t>
            </w:r>
          </w:p>
        </w:tc>
        <w:tc>
          <w:tcPr>
            <w:tcW w:w="720" w:type="dxa"/>
          </w:tcPr>
          <w:p w14:paraId="426919BD"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95.0</w:t>
            </w:r>
          </w:p>
        </w:tc>
      </w:tr>
      <w:tr w:rsidR="00D2643B" w:rsidRPr="00B440D4" w14:paraId="707D8100" w14:textId="77777777" w:rsidTr="00B440D4">
        <w:trPr>
          <w:trHeight w:val="346"/>
        </w:trPr>
        <w:tc>
          <w:tcPr>
            <w:tcW w:w="803" w:type="dxa"/>
          </w:tcPr>
          <w:p w14:paraId="75A29F2E" w14:textId="77777777" w:rsidR="00D2643B" w:rsidRPr="00B440D4" w:rsidRDefault="00D2643B" w:rsidP="00B440D4">
            <w:pPr>
              <w:spacing w:after="0" w:line="360" w:lineRule="auto"/>
              <w:rPr>
                <w:sz w:val="20"/>
                <w:szCs w:val="20"/>
              </w:rPr>
            </w:pPr>
            <w:r w:rsidRPr="00B440D4">
              <w:rPr>
                <w:sz w:val="20"/>
                <w:szCs w:val="20"/>
              </w:rPr>
              <w:t>4 (a)*</w:t>
            </w:r>
          </w:p>
        </w:tc>
        <w:tc>
          <w:tcPr>
            <w:tcW w:w="2887" w:type="dxa"/>
          </w:tcPr>
          <w:p w14:paraId="7AC1B120" w14:textId="77777777" w:rsidR="00D2643B" w:rsidRPr="00B440D4" w:rsidRDefault="00D2643B" w:rsidP="00B440D4">
            <w:pPr>
              <w:spacing w:after="0" w:line="360" w:lineRule="auto"/>
              <w:rPr>
                <w:sz w:val="20"/>
                <w:szCs w:val="20"/>
              </w:rPr>
            </w:pPr>
            <w:r w:rsidRPr="00B440D4">
              <w:rPr>
                <w:sz w:val="20"/>
                <w:szCs w:val="20"/>
              </w:rPr>
              <w:t>Equity profit in ‘operating’</w:t>
            </w:r>
          </w:p>
        </w:tc>
        <w:tc>
          <w:tcPr>
            <w:tcW w:w="803" w:type="dxa"/>
          </w:tcPr>
          <w:p w14:paraId="73B51DEB" w14:textId="77777777" w:rsidR="00D2643B" w:rsidRPr="00B440D4" w:rsidRDefault="00D2643B" w:rsidP="00B440D4">
            <w:pPr>
              <w:tabs>
                <w:tab w:val="decimal" w:pos="282"/>
              </w:tabs>
              <w:spacing w:after="0" w:line="360" w:lineRule="auto"/>
              <w:rPr>
                <w:sz w:val="20"/>
                <w:szCs w:val="20"/>
              </w:rPr>
            </w:pPr>
            <w:r w:rsidRPr="00B440D4">
              <w:rPr>
                <w:sz w:val="20"/>
                <w:szCs w:val="20"/>
              </w:rPr>
              <w:t>68.8</w:t>
            </w:r>
          </w:p>
        </w:tc>
        <w:tc>
          <w:tcPr>
            <w:tcW w:w="720" w:type="dxa"/>
          </w:tcPr>
          <w:p w14:paraId="0649C5F9" w14:textId="77777777" w:rsidR="00D2643B" w:rsidRPr="00B440D4" w:rsidRDefault="00D2643B" w:rsidP="00B440D4">
            <w:pPr>
              <w:tabs>
                <w:tab w:val="decimal" w:pos="252"/>
              </w:tabs>
              <w:spacing w:after="0" w:line="360" w:lineRule="auto"/>
              <w:jc w:val="center"/>
              <w:rPr>
                <w:sz w:val="20"/>
                <w:szCs w:val="20"/>
              </w:rPr>
            </w:pPr>
            <w:r w:rsidRPr="00B440D4">
              <w:rPr>
                <w:sz w:val="20"/>
                <w:szCs w:val="20"/>
              </w:rPr>
              <w:t>30.8</w:t>
            </w:r>
          </w:p>
        </w:tc>
        <w:tc>
          <w:tcPr>
            <w:tcW w:w="693" w:type="dxa"/>
          </w:tcPr>
          <w:p w14:paraId="573C8FD6" w14:textId="77777777" w:rsidR="00D2643B" w:rsidRPr="00B440D4" w:rsidRDefault="00D2643B" w:rsidP="00B440D4">
            <w:pPr>
              <w:tabs>
                <w:tab w:val="decimal" w:pos="282"/>
              </w:tabs>
              <w:spacing w:after="0" w:line="360" w:lineRule="auto"/>
              <w:rPr>
                <w:sz w:val="20"/>
                <w:szCs w:val="20"/>
              </w:rPr>
            </w:pPr>
            <w:r w:rsidRPr="00B440D4">
              <w:rPr>
                <w:sz w:val="20"/>
                <w:szCs w:val="20"/>
              </w:rPr>
              <w:t>4</w:t>
            </w:r>
            <w:r>
              <w:rPr>
                <w:sz w:val="20"/>
                <w:szCs w:val="20"/>
              </w:rPr>
              <w:t>0.4</w:t>
            </w:r>
          </w:p>
        </w:tc>
        <w:tc>
          <w:tcPr>
            <w:tcW w:w="720" w:type="dxa"/>
          </w:tcPr>
          <w:p w14:paraId="4966EF4A" w14:textId="77777777" w:rsidR="00D2643B" w:rsidRPr="00B440D4" w:rsidRDefault="00D2643B" w:rsidP="00B440D4">
            <w:pPr>
              <w:tabs>
                <w:tab w:val="decimal" w:pos="282"/>
              </w:tabs>
              <w:spacing w:after="0" w:line="360" w:lineRule="auto"/>
              <w:rPr>
                <w:sz w:val="20"/>
                <w:szCs w:val="20"/>
              </w:rPr>
            </w:pPr>
            <w:r w:rsidRPr="00B440D4">
              <w:rPr>
                <w:sz w:val="20"/>
                <w:szCs w:val="20"/>
              </w:rPr>
              <w:t>2</w:t>
            </w:r>
            <w:r>
              <w:rPr>
                <w:sz w:val="20"/>
                <w:szCs w:val="20"/>
              </w:rPr>
              <w:t>3.3</w:t>
            </w:r>
          </w:p>
        </w:tc>
        <w:tc>
          <w:tcPr>
            <w:tcW w:w="720" w:type="dxa"/>
          </w:tcPr>
          <w:p w14:paraId="0CF6CEF7" w14:textId="77777777" w:rsidR="00D2643B" w:rsidRPr="00B440D4" w:rsidRDefault="00D2643B" w:rsidP="00B440D4">
            <w:pPr>
              <w:tabs>
                <w:tab w:val="decimal" w:pos="282"/>
              </w:tabs>
              <w:spacing w:after="0" w:line="360" w:lineRule="auto"/>
              <w:rPr>
                <w:sz w:val="20"/>
                <w:szCs w:val="20"/>
              </w:rPr>
            </w:pPr>
            <w:r w:rsidRPr="00B440D4">
              <w:rPr>
                <w:sz w:val="20"/>
                <w:szCs w:val="20"/>
              </w:rPr>
              <w:t>10.</w:t>
            </w:r>
            <w:r>
              <w:rPr>
                <w:sz w:val="20"/>
                <w:szCs w:val="20"/>
              </w:rPr>
              <w:t>7</w:t>
            </w:r>
          </w:p>
        </w:tc>
        <w:tc>
          <w:tcPr>
            <w:tcW w:w="720" w:type="dxa"/>
          </w:tcPr>
          <w:p w14:paraId="736E8E7A" w14:textId="77777777" w:rsidR="00D2643B" w:rsidRPr="00B440D4" w:rsidRDefault="00D2643B" w:rsidP="00B440D4">
            <w:pPr>
              <w:tabs>
                <w:tab w:val="decimal" w:pos="282"/>
              </w:tabs>
              <w:spacing w:after="0" w:line="360" w:lineRule="auto"/>
              <w:rPr>
                <w:sz w:val="20"/>
                <w:szCs w:val="20"/>
              </w:rPr>
            </w:pPr>
            <w:r w:rsidRPr="00B440D4">
              <w:rPr>
                <w:sz w:val="20"/>
                <w:szCs w:val="20"/>
              </w:rPr>
              <w:t>0.0</w:t>
            </w:r>
          </w:p>
        </w:tc>
        <w:tc>
          <w:tcPr>
            <w:tcW w:w="720" w:type="dxa"/>
          </w:tcPr>
          <w:p w14:paraId="735CD9B9" w14:textId="77777777" w:rsidR="00D2643B" w:rsidRPr="00B440D4" w:rsidRDefault="00D2643B" w:rsidP="00B440D4">
            <w:pPr>
              <w:tabs>
                <w:tab w:val="decimal" w:pos="282"/>
              </w:tabs>
              <w:spacing w:after="0" w:line="360" w:lineRule="auto"/>
              <w:rPr>
                <w:sz w:val="20"/>
                <w:szCs w:val="20"/>
              </w:rPr>
            </w:pPr>
            <w:r w:rsidRPr="00B440D4">
              <w:rPr>
                <w:sz w:val="20"/>
                <w:szCs w:val="20"/>
              </w:rPr>
              <w:t>0.0</w:t>
            </w:r>
          </w:p>
        </w:tc>
        <w:tc>
          <w:tcPr>
            <w:tcW w:w="810" w:type="dxa"/>
          </w:tcPr>
          <w:p w14:paraId="4C1994B4" w14:textId="77777777" w:rsidR="00D2643B" w:rsidRPr="00B440D4" w:rsidRDefault="00D2643B" w:rsidP="00B440D4">
            <w:pPr>
              <w:tabs>
                <w:tab w:val="decimal" w:pos="282"/>
              </w:tabs>
              <w:spacing w:after="0" w:line="360" w:lineRule="auto"/>
              <w:rPr>
                <w:sz w:val="20"/>
                <w:szCs w:val="20"/>
              </w:rPr>
            </w:pPr>
            <w:r w:rsidRPr="00B440D4">
              <w:rPr>
                <w:sz w:val="20"/>
                <w:szCs w:val="20"/>
              </w:rPr>
              <w:t>0.0</w:t>
            </w:r>
          </w:p>
        </w:tc>
        <w:tc>
          <w:tcPr>
            <w:tcW w:w="720" w:type="dxa"/>
          </w:tcPr>
          <w:p w14:paraId="0C6A9908"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93.3</w:t>
            </w:r>
          </w:p>
        </w:tc>
      </w:tr>
      <w:tr w:rsidR="00D2643B" w:rsidRPr="00B440D4" w14:paraId="2BF10D27" w14:textId="77777777" w:rsidTr="00B440D4">
        <w:trPr>
          <w:trHeight w:val="346"/>
        </w:trPr>
        <w:tc>
          <w:tcPr>
            <w:tcW w:w="803" w:type="dxa"/>
          </w:tcPr>
          <w:p w14:paraId="19CAC694" w14:textId="77777777" w:rsidR="00D2643B" w:rsidRPr="00B440D4" w:rsidRDefault="00D2643B" w:rsidP="00B440D4">
            <w:pPr>
              <w:spacing w:after="0" w:line="360" w:lineRule="auto"/>
              <w:rPr>
                <w:sz w:val="20"/>
                <w:szCs w:val="20"/>
              </w:rPr>
            </w:pPr>
            <w:r w:rsidRPr="00B440D4">
              <w:rPr>
                <w:sz w:val="20"/>
                <w:szCs w:val="20"/>
              </w:rPr>
              <w:t>5 (b)†</w:t>
            </w:r>
          </w:p>
        </w:tc>
        <w:tc>
          <w:tcPr>
            <w:tcW w:w="2887" w:type="dxa"/>
          </w:tcPr>
          <w:p w14:paraId="1330CCB2" w14:textId="77777777" w:rsidR="00D2643B" w:rsidRPr="00B440D4" w:rsidRDefault="00D2643B" w:rsidP="00B440D4">
            <w:pPr>
              <w:spacing w:after="0" w:line="360" w:lineRule="auto"/>
              <w:rPr>
                <w:sz w:val="20"/>
                <w:szCs w:val="20"/>
              </w:rPr>
            </w:pPr>
            <w:r w:rsidRPr="00B440D4">
              <w:rPr>
                <w:sz w:val="20"/>
                <w:szCs w:val="20"/>
              </w:rPr>
              <w:t>Only SORIE/OCI presented</w:t>
            </w:r>
          </w:p>
        </w:tc>
        <w:tc>
          <w:tcPr>
            <w:tcW w:w="803" w:type="dxa"/>
          </w:tcPr>
          <w:p w14:paraId="52299397" w14:textId="77777777" w:rsidR="00D2643B" w:rsidRPr="00B440D4" w:rsidRDefault="00D2643B" w:rsidP="00B440D4">
            <w:pPr>
              <w:tabs>
                <w:tab w:val="decimal" w:pos="282"/>
              </w:tabs>
              <w:spacing w:after="0" w:line="360" w:lineRule="auto"/>
              <w:rPr>
                <w:sz w:val="20"/>
                <w:szCs w:val="20"/>
              </w:rPr>
            </w:pPr>
            <w:r w:rsidRPr="00B440D4">
              <w:rPr>
                <w:sz w:val="20"/>
                <w:szCs w:val="20"/>
              </w:rPr>
              <w:t>67.5</w:t>
            </w:r>
          </w:p>
        </w:tc>
        <w:tc>
          <w:tcPr>
            <w:tcW w:w="720" w:type="dxa"/>
          </w:tcPr>
          <w:p w14:paraId="200FFA46" w14:textId="77777777" w:rsidR="00D2643B" w:rsidRPr="00B440D4" w:rsidRDefault="00D2643B" w:rsidP="00B440D4">
            <w:pPr>
              <w:tabs>
                <w:tab w:val="decimal" w:pos="252"/>
              </w:tabs>
              <w:spacing w:after="0" w:line="360" w:lineRule="auto"/>
              <w:jc w:val="center"/>
              <w:rPr>
                <w:sz w:val="20"/>
                <w:szCs w:val="20"/>
              </w:rPr>
            </w:pPr>
            <w:r w:rsidRPr="00B440D4">
              <w:rPr>
                <w:sz w:val="20"/>
                <w:szCs w:val="20"/>
              </w:rPr>
              <w:t>-</w:t>
            </w:r>
          </w:p>
        </w:tc>
        <w:tc>
          <w:tcPr>
            <w:tcW w:w="693" w:type="dxa"/>
          </w:tcPr>
          <w:p w14:paraId="200110EB" w14:textId="77777777" w:rsidR="00D2643B" w:rsidRPr="00B440D4" w:rsidRDefault="00D2643B" w:rsidP="00B440D4">
            <w:pPr>
              <w:tabs>
                <w:tab w:val="decimal" w:pos="282"/>
              </w:tabs>
              <w:spacing w:after="0" w:line="360" w:lineRule="auto"/>
              <w:rPr>
                <w:sz w:val="20"/>
                <w:szCs w:val="20"/>
              </w:rPr>
            </w:pPr>
            <w:r w:rsidRPr="00B440D4">
              <w:rPr>
                <w:sz w:val="20"/>
                <w:szCs w:val="20"/>
              </w:rPr>
              <w:t>90.6</w:t>
            </w:r>
          </w:p>
        </w:tc>
        <w:tc>
          <w:tcPr>
            <w:tcW w:w="720" w:type="dxa"/>
          </w:tcPr>
          <w:p w14:paraId="63F2D7C4" w14:textId="77777777" w:rsidR="00D2643B" w:rsidRPr="00B440D4" w:rsidRDefault="00D2643B" w:rsidP="00B440D4">
            <w:pPr>
              <w:tabs>
                <w:tab w:val="decimal" w:pos="282"/>
              </w:tabs>
              <w:spacing w:after="0" w:line="360" w:lineRule="auto"/>
              <w:rPr>
                <w:sz w:val="20"/>
                <w:szCs w:val="20"/>
              </w:rPr>
            </w:pPr>
            <w:r w:rsidRPr="00B440D4">
              <w:rPr>
                <w:sz w:val="20"/>
                <w:szCs w:val="20"/>
              </w:rPr>
              <w:t>3</w:t>
            </w:r>
            <w:r>
              <w:rPr>
                <w:sz w:val="20"/>
                <w:szCs w:val="20"/>
              </w:rPr>
              <w:t>3.3</w:t>
            </w:r>
          </w:p>
        </w:tc>
        <w:tc>
          <w:tcPr>
            <w:tcW w:w="720" w:type="dxa"/>
          </w:tcPr>
          <w:p w14:paraId="764C7695" w14:textId="77777777" w:rsidR="00D2643B" w:rsidRPr="00B440D4" w:rsidRDefault="00D2643B" w:rsidP="00B440D4">
            <w:pPr>
              <w:tabs>
                <w:tab w:val="decimal" w:pos="282"/>
              </w:tabs>
              <w:spacing w:after="0" w:line="360" w:lineRule="auto"/>
              <w:rPr>
                <w:sz w:val="20"/>
                <w:szCs w:val="20"/>
              </w:rPr>
            </w:pPr>
            <w:r w:rsidRPr="00B440D4">
              <w:rPr>
                <w:sz w:val="20"/>
                <w:szCs w:val="20"/>
              </w:rPr>
              <w:t>14.7</w:t>
            </w:r>
          </w:p>
        </w:tc>
        <w:tc>
          <w:tcPr>
            <w:tcW w:w="720" w:type="dxa"/>
          </w:tcPr>
          <w:p w14:paraId="6E6E200C" w14:textId="77777777" w:rsidR="00D2643B" w:rsidRPr="00B440D4" w:rsidRDefault="00D2643B" w:rsidP="00B440D4">
            <w:pPr>
              <w:tabs>
                <w:tab w:val="decimal" w:pos="282"/>
              </w:tabs>
              <w:spacing w:after="0" w:line="360" w:lineRule="auto"/>
              <w:rPr>
                <w:sz w:val="20"/>
                <w:szCs w:val="20"/>
              </w:rPr>
            </w:pPr>
            <w:r w:rsidRPr="00B440D4">
              <w:rPr>
                <w:sz w:val="20"/>
                <w:szCs w:val="20"/>
              </w:rPr>
              <w:t>32.1</w:t>
            </w:r>
          </w:p>
        </w:tc>
        <w:tc>
          <w:tcPr>
            <w:tcW w:w="720" w:type="dxa"/>
          </w:tcPr>
          <w:p w14:paraId="11D0582F" w14:textId="77777777" w:rsidR="00D2643B" w:rsidRPr="00B440D4" w:rsidRDefault="00D2643B" w:rsidP="00B440D4">
            <w:pPr>
              <w:tabs>
                <w:tab w:val="decimal" w:pos="282"/>
              </w:tabs>
              <w:spacing w:after="0" w:line="360" w:lineRule="auto"/>
              <w:rPr>
                <w:sz w:val="20"/>
                <w:szCs w:val="20"/>
              </w:rPr>
            </w:pPr>
            <w:r w:rsidRPr="00B440D4">
              <w:rPr>
                <w:sz w:val="20"/>
                <w:szCs w:val="20"/>
              </w:rPr>
              <w:t>41.1</w:t>
            </w:r>
          </w:p>
        </w:tc>
        <w:tc>
          <w:tcPr>
            <w:tcW w:w="810" w:type="dxa"/>
          </w:tcPr>
          <w:p w14:paraId="00D3C53D" w14:textId="77777777" w:rsidR="00D2643B" w:rsidRPr="00B440D4" w:rsidRDefault="00D2643B" w:rsidP="00B440D4">
            <w:pPr>
              <w:tabs>
                <w:tab w:val="decimal" w:pos="282"/>
              </w:tabs>
              <w:spacing w:after="0" w:line="360" w:lineRule="auto"/>
              <w:rPr>
                <w:sz w:val="20"/>
                <w:szCs w:val="20"/>
              </w:rPr>
            </w:pPr>
            <w:r w:rsidRPr="00B440D4">
              <w:rPr>
                <w:sz w:val="20"/>
                <w:szCs w:val="20"/>
              </w:rPr>
              <w:t>18.8</w:t>
            </w:r>
          </w:p>
        </w:tc>
        <w:tc>
          <w:tcPr>
            <w:tcW w:w="720" w:type="dxa"/>
          </w:tcPr>
          <w:p w14:paraId="5742778C"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23.1</w:t>
            </w:r>
          </w:p>
        </w:tc>
      </w:tr>
      <w:tr w:rsidR="00D2643B" w:rsidRPr="00B440D4" w14:paraId="3311D474" w14:textId="77777777" w:rsidTr="00B440D4">
        <w:trPr>
          <w:trHeight w:val="346"/>
        </w:trPr>
        <w:tc>
          <w:tcPr>
            <w:tcW w:w="803" w:type="dxa"/>
          </w:tcPr>
          <w:p w14:paraId="5992678F" w14:textId="77777777" w:rsidR="00D2643B" w:rsidRPr="00B440D4" w:rsidRDefault="00D2643B" w:rsidP="00B440D4">
            <w:pPr>
              <w:spacing w:after="0" w:line="360" w:lineRule="auto"/>
              <w:rPr>
                <w:sz w:val="20"/>
                <w:szCs w:val="20"/>
              </w:rPr>
            </w:pPr>
            <w:r w:rsidRPr="00B440D4">
              <w:rPr>
                <w:sz w:val="20"/>
                <w:szCs w:val="20"/>
              </w:rPr>
              <w:t>6 (b)*</w:t>
            </w:r>
          </w:p>
        </w:tc>
        <w:tc>
          <w:tcPr>
            <w:tcW w:w="2887" w:type="dxa"/>
          </w:tcPr>
          <w:p w14:paraId="609BC359" w14:textId="77777777" w:rsidR="00D2643B" w:rsidRPr="00B440D4" w:rsidRDefault="00D2643B" w:rsidP="00B440D4">
            <w:pPr>
              <w:spacing w:after="0" w:line="360" w:lineRule="auto"/>
              <w:rPr>
                <w:sz w:val="20"/>
                <w:szCs w:val="20"/>
              </w:rPr>
            </w:pPr>
            <w:r w:rsidRPr="00B440D4">
              <w:rPr>
                <w:sz w:val="20"/>
                <w:szCs w:val="20"/>
              </w:rPr>
              <w:t>Indirect operating cash flows</w:t>
            </w:r>
          </w:p>
        </w:tc>
        <w:tc>
          <w:tcPr>
            <w:tcW w:w="803" w:type="dxa"/>
          </w:tcPr>
          <w:p w14:paraId="52A20479" w14:textId="77777777" w:rsidR="00D2643B" w:rsidRPr="00B440D4" w:rsidRDefault="00D2643B" w:rsidP="00B440D4">
            <w:pPr>
              <w:tabs>
                <w:tab w:val="decimal" w:pos="282"/>
              </w:tabs>
              <w:spacing w:after="0" w:line="360" w:lineRule="auto"/>
              <w:rPr>
                <w:sz w:val="20"/>
                <w:szCs w:val="20"/>
              </w:rPr>
            </w:pPr>
            <w:r w:rsidRPr="00B440D4">
              <w:rPr>
                <w:sz w:val="20"/>
                <w:szCs w:val="20"/>
              </w:rPr>
              <w:t>8.3</w:t>
            </w:r>
          </w:p>
        </w:tc>
        <w:tc>
          <w:tcPr>
            <w:tcW w:w="720" w:type="dxa"/>
          </w:tcPr>
          <w:p w14:paraId="2C927950" w14:textId="77777777" w:rsidR="00D2643B" w:rsidRPr="00B440D4" w:rsidRDefault="00D2643B" w:rsidP="00B440D4">
            <w:pPr>
              <w:tabs>
                <w:tab w:val="decimal" w:pos="252"/>
              </w:tabs>
              <w:spacing w:after="0" w:line="360" w:lineRule="auto"/>
              <w:jc w:val="center"/>
              <w:rPr>
                <w:sz w:val="20"/>
                <w:szCs w:val="20"/>
              </w:rPr>
            </w:pPr>
            <w:r w:rsidRPr="00B440D4">
              <w:rPr>
                <w:sz w:val="20"/>
                <w:szCs w:val="20"/>
              </w:rPr>
              <w:t>100.0</w:t>
            </w:r>
          </w:p>
        </w:tc>
        <w:tc>
          <w:tcPr>
            <w:tcW w:w="693" w:type="dxa"/>
          </w:tcPr>
          <w:p w14:paraId="0A44C65C" w14:textId="77777777" w:rsidR="00D2643B" w:rsidRPr="00B440D4" w:rsidRDefault="00D2643B" w:rsidP="00B440D4">
            <w:pPr>
              <w:tabs>
                <w:tab w:val="decimal" w:pos="282"/>
              </w:tabs>
              <w:spacing w:after="0" w:line="360" w:lineRule="auto"/>
              <w:rPr>
                <w:sz w:val="20"/>
                <w:szCs w:val="20"/>
              </w:rPr>
            </w:pPr>
            <w:r w:rsidRPr="00B440D4">
              <w:rPr>
                <w:sz w:val="20"/>
                <w:szCs w:val="20"/>
              </w:rPr>
              <w:t>100.0</w:t>
            </w:r>
          </w:p>
        </w:tc>
        <w:tc>
          <w:tcPr>
            <w:tcW w:w="720" w:type="dxa"/>
          </w:tcPr>
          <w:p w14:paraId="0B7A782A" w14:textId="77777777" w:rsidR="00D2643B" w:rsidRPr="00B440D4" w:rsidRDefault="00D2643B" w:rsidP="00B440D4">
            <w:pPr>
              <w:tabs>
                <w:tab w:val="decimal" w:pos="282"/>
              </w:tabs>
              <w:spacing w:after="0" w:line="360" w:lineRule="auto"/>
              <w:rPr>
                <w:sz w:val="20"/>
                <w:szCs w:val="20"/>
              </w:rPr>
            </w:pPr>
            <w:r w:rsidRPr="00B440D4">
              <w:rPr>
                <w:sz w:val="20"/>
                <w:szCs w:val="20"/>
              </w:rPr>
              <w:t>100.0</w:t>
            </w:r>
          </w:p>
        </w:tc>
        <w:tc>
          <w:tcPr>
            <w:tcW w:w="720" w:type="dxa"/>
          </w:tcPr>
          <w:p w14:paraId="74609455" w14:textId="77777777" w:rsidR="00D2643B" w:rsidRPr="00B440D4" w:rsidRDefault="00D2643B" w:rsidP="00B440D4">
            <w:pPr>
              <w:tabs>
                <w:tab w:val="decimal" w:pos="282"/>
              </w:tabs>
              <w:spacing w:after="0" w:line="360" w:lineRule="auto"/>
              <w:rPr>
                <w:sz w:val="20"/>
                <w:szCs w:val="20"/>
              </w:rPr>
            </w:pPr>
            <w:r w:rsidRPr="00B440D4">
              <w:rPr>
                <w:sz w:val="20"/>
                <w:szCs w:val="20"/>
              </w:rPr>
              <w:t>100.0</w:t>
            </w:r>
          </w:p>
        </w:tc>
        <w:tc>
          <w:tcPr>
            <w:tcW w:w="720" w:type="dxa"/>
          </w:tcPr>
          <w:p w14:paraId="3827801C" w14:textId="77777777" w:rsidR="00D2643B" w:rsidRPr="00B440D4" w:rsidRDefault="00D2643B" w:rsidP="00B440D4">
            <w:pPr>
              <w:tabs>
                <w:tab w:val="decimal" w:pos="282"/>
              </w:tabs>
              <w:spacing w:after="0" w:line="360" w:lineRule="auto"/>
              <w:rPr>
                <w:sz w:val="20"/>
                <w:szCs w:val="20"/>
              </w:rPr>
            </w:pPr>
            <w:r>
              <w:rPr>
                <w:sz w:val="20"/>
                <w:szCs w:val="20"/>
              </w:rPr>
              <w:t>95.2</w:t>
            </w:r>
          </w:p>
        </w:tc>
        <w:tc>
          <w:tcPr>
            <w:tcW w:w="720" w:type="dxa"/>
          </w:tcPr>
          <w:p w14:paraId="5E6A7621" w14:textId="77777777" w:rsidR="00D2643B" w:rsidRPr="00B440D4" w:rsidRDefault="00D2643B" w:rsidP="00B440D4">
            <w:pPr>
              <w:tabs>
                <w:tab w:val="decimal" w:pos="282"/>
              </w:tabs>
              <w:spacing w:after="0" w:line="360" w:lineRule="auto"/>
              <w:rPr>
                <w:sz w:val="20"/>
                <w:szCs w:val="20"/>
              </w:rPr>
            </w:pPr>
            <w:r w:rsidRPr="00B440D4">
              <w:rPr>
                <w:sz w:val="20"/>
                <w:szCs w:val="20"/>
              </w:rPr>
              <w:t>100.0</w:t>
            </w:r>
          </w:p>
        </w:tc>
        <w:tc>
          <w:tcPr>
            <w:tcW w:w="810" w:type="dxa"/>
          </w:tcPr>
          <w:p w14:paraId="3542C687" w14:textId="77777777" w:rsidR="00D2643B" w:rsidRPr="00B440D4" w:rsidRDefault="00D2643B" w:rsidP="00B440D4">
            <w:pPr>
              <w:tabs>
                <w:tab w:val="decimal" w:pos="282"/>
              </w:tabs>
              <w:spacing w:after="0" w:line="360" w:lineRule="auto"/>
              <w:rPr>
                <w:sz w:val="20"/>
                <w:szCs w:val="20"/>
              </w:rPr>
            </w:pPr>
            <w:r w:rsidRPr="00B440D4">
              <w:rPr>
                <w:sz w:val="20"/>
                <w:szCs w:val="20"/>
              </w:rPr>
              <w:t>100.0</w:t>
            </w:r>
          </w:p>
        </w:tc>
        <w:tc>
          <w:tcPr>
            <w:tcW w:w="720" w:type="dxa"/>
          </w:tcPr>
          <w:p w14:paraId="5DC6EA27"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100.0</w:t>
            </w:r>
          </w:p>
        </w:tc>
      </w:tr>
      <w:tr w:rsidR="00D2643B" w:rsidRPr="00B440D4" w14:paraId="0EA30E12" w14:textId="77777777" w:rsidTr="00B440D4">
        <w:trPr>
          <w:trHeight w:val="346"/>
        </w:trPr>
        <w:tc>
          <w:tcPr>
            <w:tcW w:w="803" w:type="dxa"/>
          </w:tcPr>
          <w:p w14:paraId="4E102A66" w14:textId="77777777" w:rsidR="00D2643B" w:rsidRPr="00B440D4" w:rsidRDefault="00D2643B" w:rsidP="00B440D4">
            <w:pPr>
              <w:spacing w:after="0" w:line="360" w:lineRule="auto"/>
              <w:rPr>
                <w:sz w:val="20"/>
                <w:szCs w:val="20"/>
              </w:rPr>
            </w:pPr>
            <w:r w:rsidRPr="00B440D4">
              <w:rPr>
                <w:sz w:val="20"/>
                <w:szCs w:val="20"/>
              </w:rPr>
              <w:t>7 (a)*</w:t>
            </w:r>
          </w:p>
        </w:tc>
        <w:tc>
          <w:tcPr>
            <w:tcW w:w="2887" w:type="dxa"/>
          </w:tcPr>
          <w:p w14:paraId="5D37771A" w14:textId="77777777" w:rsidR="00D2643B" w:rsidRPr="00B440D4" w:rsidRDefault="00D2643B" w:rsidP="00B440D4">
            <w:pPr>
              <w:spacing w:after="0" w:line="360" w:lineRule="auto"/>
              <w:rPr>
                <w:sz w:val="20"/>
                <w:szCs w:val="20"/>
              </w:rPr>
            </w:pPr>
            <w:r w:rsidRPr="00B440D4">
              <w:rPr>
                <w:sz w:val="20"/>
                <w:szCs w:val="20"/>
              </w:rPr>
              <w:t>Interest paid as operating flow</w:t>
            </w:r>
          </w:p>
        </w:tc>
        <w:tc>
          <w:tcPr>
            <w:tcW w:w="803" w:type="dxa"/>
          </w:tcPr>
          <w:p w14:paraId="33E0F770" w14:textId="77777777" w:rsidR="00D2643B" w:rsidRPr="00B440D4" w:rsidRDefault="00D2643B" w:rsidP="00B440D4">
            <w:pPr>
              <w:tabs>
                <w:tab w:val="decimal" w:pos="282"/>
              </w:tabs>
              <w:spacing w:after="0" w:line="360" w:lineRule="auto"/>
              <w:rPr>
                <w:sz w:val="20"/>
                <w:szCs w:val="20"/>
              </w:rPr>
            </w:pPr>
            <w:r w:rsidRPr="00B440D4">
              <w:rPr>
                <w:sz w:val="20"/>
                <w:szCs w:val="20"/>
              </w:rPr>
              <w:t>81.5</w:t>
            </w:r>
          </w:p>
        </w:tc>
        <w:tc>
          <w:tcPr>
            <w:tcW w:w="720" w:type="dxa"/>
          </w:tcPr>
          <w:p w14:paraId="5881591B" w14:textId="77777777" w:rsidR="00D2643B" w:rsidRPr="00B440D4" w:rsidRDefault="00D2643B" w:rsidP="00B440D4">
            <w:pPr>
              <w:tabs>
                <w:tab w:val="decimal" w:pos="252"/>
              </w:tabs>
              <w:spacing w:after="0" w:line="360" w:lineRule="auto"/>
              <w:jc w:val="center"/>
              <w:rPr>
                <w:sz w:val="20"/>
                <w:szCs w:val="20"/>
              </w:rPr>
            </w:pPr>
            <w:r w:rsidRPr="00B440D4">
              <w:rPr>
                <w:sz w:val="20"/>
                <w:szCs w:val="20"/>
              </w:rPr>
              <w:t>74.3</w:t>
            </w:r>
          </w:p>
        </w:tc>
        <w:tc>
          <w:tcPr>
            <w:tcW w:w="693" w:type="dxa"/>
          </w:tcPr>
          <w:p w14:paraId="75443D58" w14:textId="77777777" w:rsidR="00D2643B" w:rsidRPr="00B440D4" w:rsidRDefault="00D2643B" w:rsidP="00B440D4">
            <w:pPr>
              <w:tabs>
                <w:tab w:val="decimal" w:pos="282"/>
              </w:tabs>
              <w:spacing w:after="0" w:line="360" w:lineRule="auto"/>
              <w:rPr>
                <w:sz w:val="20"/>
                <w:szCs w:val="20"/>
              </w:rPr>
            </w:pPr>
            <w:r w:rsidRPr="00B440D4">
              <w:rPr>
                <w:sz w:val="20"/>
                <w:szCs w:val="20"/>
              </w:rPr>
              <w:t>65.1</w:t>
            </w:r>
          </w:p>
        </w:tc>
        <w:tc>
          <w:tcPr>
            <w:tcW w:w="720" w:type="dxa"/>
          </w:tcPr>
          <w:p w14:paraId="55F23F52" w14:textId="77777777" w:rsidR="00D2643B" w:rsidRPr="00B440D4" w:rsidRDefault="00D2643B" w:rsidP="00B440D4">
            <w:pPr>
              <w:tabs>
                <w:tab w:val="decimal" w:pos="282"/>
              </w:tabs>
              <w:spacing w:after="0" w:line="360" w:lineRule="auto"/>
              <w:rPr>
                <w:sz w:val="20"/>
                <w:szCs w:val="20"/>
              </w:rPr>
            </w:pPr>
            <w:r w:rsidRPr="00B440D4">
              <w:rPr>
                <w:sz w:val="20"/>
                <w:szCs w:val="20"/>
              </w:rPr>
              <w:t>6</w:t>
            </w:r>
            <w:r>
              <w:rPr>
                <w:sz w:val="20"/>
                <w:szCs w:val="20"/>
              </w:rPr>
              <w:t>0.9</w:t>
            </w:r>
          </w:p>
        </w:tc>
        <w:tc>
          <w:tcPr>
            <w:tcW w:w="720" w:type="dxa"/>
          </w:tcPr>
          <w:p w14:paraId="49740B6C" w14:textId="77777777" w:rsidR="00D2643B" w:rsidRPr="00B440D4" w:rsidRDefault="00D2643B" w:rsidP="00B440D4">
            <w:pPr>
              <w:tabs>
                <w:tab w:val="decimal" w:pos="282"/>
              </w:tabs>
              <w:spacing w:after="0" w:line="360" w:lineRule="auto"/>
              <w:rPr>
                <w:sz w:val="20"/>
                <w:szCs w:val="20"/>
              </w:rPr>
            </w:pPr>
            <w:r w:rsidRPr="00B440D4">
              <w:rPr>
                <w:sz w:val="20"/>
                <w:szCs w:val="20"/>
              </w:rPr>
              <w:t>80.0</w:t>
            </w:r>
          </w:p>
        </w:tc>
        <w:tc>
          <w:tcPr>
            <w:tcW w:w="720" w:type="dxa"/>
          </w:tcPr>
          <w:p w14:paraId="03E717E3" w14:textId="77777777" w:rsidR="00D2643B" w:rsidRPr="00B440D4" w:rsidRDefault="00D2643B" w:rsidP="00B440D4">
            <w:pPr>
              <w:tabs>
                <w:tab w:val="decimal" w:pos="282"/>
              </w:tabs>
              <w:spacing w:after="0" w:line="360" w:lineRule="auto"/>
              <w:rPr>
                <w:sz w:val="20"/>
                <w:szCs w:val="20"/>
              </w:rPr>
            </w:pPr>
            <w:r w:rsidRPr="00B440D4">
              <w:rPr>
                <w:sz w:val="20"/>
                <w:szCs w:val="20"/>
              </w:rPr>
              <w:t>4</w:t>
            </w:r>
            <w:r>
              <w:rPr>
                <w:sz w:val="20"/>
                <w:szCs w:val="20"/>
              </w:rPr>
              <w:t>2.9</w:t>
            </w:r>
          </w:p>
        </w:tc>
        <w:tc>
          <w:tcPr>
            <w:tcW w:w="720" w:type="dxa"/>
          </w:tcPr>
          <w:p w14:paraId="538C1749" w14:textId="77777777" w:rsidR="00D2643B" w:rsidRPr="00B440D4" w:rsidRDefault="00D2643B" w:rsidP="00B440D4">
            <w:pPr>
              <w:tabs>
                <w:tab w:val="decimal" w:pos="282"/>
              </w:tabs>
              <w:spacing w:after="0" w:line="360" w:lineRule="auto"/>
              <w:rPr>
                <w:sz w:val="20"/>
                <w:szCs w:val="20"/>
              </w:rPr>
            </w:pPr>
            <w:r w:rsidRPr="00B440D4">
              <w:rPr>
                <w:sz w:val="20"/>
                <w:szCs w:val="20"/>
              </w:rPr>
              <w:t>78.5</w:t>
            </w:r>
          </w:p>
        </w:tc>
        <w:tc>
          <w:tcPr>
            <w:tcW w:w="810" w:type="dxa"/>
          </w:tcPr>
          <w:p w14:paraId="406631B9" w14:textId="77777777" w:rsidR="00D2643B" w:rsidRPr="00B440D4" w:rsidRDefault="00D2643B" w:rsidP="00B440D4">
            <w:pPr>
              <w:tabs>
                <w:tab w:val="decimal" w:pos="282"/>
              </w:tabs>
              <w:spacing w:after="0" w:line="360" w:lineRule="auto"/>
              <w:rPr>
                <w:sz w:val="20"/>
                <w:szCs w:val="20"/>
              </w:rPr>
            </w:pPr>
            <w:r>
              <w:rPr>
                <w:sz w:val="20"/>
                <w:szCs w:val="20"/>
              </w:rPr>
              <w:t>85.7</w:t>
            </w:r>
          </w:p>
        </w:tc>
        <w:tc>
          <w:tcPr>
            <w:tcW w:w="720" w:type="dxa"/>
          </w:tcPr>
          <w:p w14:paraId="2B8E56C2"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90.0</w:t>
            </w:r>
          </w:p>
        </w:tc>
      </w:tr>
      <w:tr w:rsidR="00D2643B" w:rsidRPr="00B440D4" w14:paraId="74FB4D1C" w14:textId="77777777" w:rsidTr="00B440D4">
        <w:trPr>
          <w:trHeight w:val="346"/>
        </w:trPr>
        <w:tc>
          <w:tcPr>
            <w:tcW w:w="803" w:type="dxa"/>
          </w:tcPr>
          <w:p w14:paraId="205F87DB" w14:textId="77777777" w:rsidR="00D2643B" w:rsidRPr="00B440D4" w:rsidRDefault="00D2643B" w:rsidP="00B440D4">
            <w:pPr>
              <w:spacing w:after="0" w:line="360" w:lineRule="auto"/>
              <w:rPr>
                <w:sz w:val="20"/>
                <w:szCs w:val="20"/>
              </w:rPr>
            </w:pPr>
            <w:r w:rsidRPr="00B440D4">
              <w:rPr>
                <w:sz w:val="20"/>
                <w:szCs w:val="20"/>
              </w:rPr>
              <w:t>8 (b)</w:t>
            </w:r>
          </w:p>
        </w:tc>
        <w:tc>
          <w:tcPr>
            <w:tcW w:w="2887" w:type="dxa"/>
          </w:tcPr>
          <w:p w14:paraId="0BEBA2B2" w14:textId="77777777" w:rsidR="00D2643B" w:rsidRPr="00B440D4" w:rsidRDefault="00D2643B" w:rsidP="00B440D4">
            <w:pPr>
              <w:spacing w:after="0" w:line="360" w:lineRule="auto"/>
              <w:rPr>
                <w:sz w:val="20"/>
                <w:szCs w:val="20"/>
              </w:rPr>
            </w:pPr>
            <w:r w:rsidRPr="00B440D4">
              <w:rPr>
                <w:sz w:val="20"/>
                <w:szCs w:val="20"/>
              </w:rPr>
              <w:t>Some PPE at fair value</w:t>
            </w:r>
          </w:p>
        </w:tc>
        <w:tc>
          <w:tcPr>
            <w:tcW w:w="803" w:type="dxa"/>
          </w:tcPr>
          <w:p w14:paraId="69CD3ABD" w14:textId="77777777" w:rsidR="00D2643B" w:rsidRPr="00B440D4" w:rsidRDefault="00D2643B" w:rsidP="00B440D4">
            <w:pPr>
              <w:tabs>
                <w:tab w:val="decimal" w:pos="282"/>
              </w:tabs>
              <w:spacing w:after="0" w:line="360" w:lineRule="auto"/>
              <w:rPr>
                <w:sz w:val="20"/>
                <w:szCs w:val="20"/>
              </w:rPr>
            </w:pPr>
            <w:r w:rsidRPr="00B440D4">
              <w:rPr>
                <w:sz w:val="20"/>
                <w:szCs w:val="20"/>
              </w:rPr>
              <w:t>15.</w:t>
            </w:r>
            <w:r>
              <w:rPr>
                <w:sz w:val="20"/>
                <w:szCs w:val="20"/>
              </w:rPr>
              <w:t>4</w:t>
            </w:r>
          </w:p>
        </w:tc>
        <w:tc>
          <w:tcPr>
            <w:tcW w:w="720" w:type="dxa"/>
          </w:tcPr>
          <w:p w14:paraId="015347B8" w14:textId="77777777" w:rsidR="00D2643B" w:rsidRPr="00B440D4" w:rsidRDefault="00D2643B" w:rsidP="00B440D4">
            <w:pPr>
              <w:tabs>
                <w:tab w:val="decimal" w:pos="252"/>
              </w:tabs>
              <w:spacing w:after="0" w:line="360" w:lineRule="auto"/>
              <w:jc w:val="center"/>
              <w:rPr>
                <w:sz w:val="20"/>
                <w:szCs w:val="20"/>
              </w:rPr>
            </w:pPr>
            <w:r w:rsidRPr="00B440D4">
              <w:rPr>
                <w:sz w:val="20"/>
                <w:szCs w:val="20"/>
              </w:rPr>
              <w:t>7.9</w:t>
            </w:r>
          </w:p>
        </w:tc>
        <w:tc>
          <w:tcPr>
            <w:tcW w:w="693" w:type="dxa"/>
          </w:tcPr>
          <w:p w14:paraId="72F31643" w14:textId="77777777" w:rsidR="00D2643B" w:rsidRPr="00B440D4" w:rsidRDefault="00D2643B" w:rsidP="00B440D4">
            <w:pPr>
              <w:tabs>
                <w:tab w:val="decimal" w:pos="282"/>
              </w:tabs>
              <w:spacing w:after="0" w:line="360" w:lineRule="auto"/>
              <w:rPr>
                <w:sz w:val="20"/>
                <w:szCs w:val="20"/>
              </w:rPr>
            </w:pPr>
            <w:r w:rsidRPr="00B440D4">
              <w:rPr>
                <w:sz w:val="20"/>
                <w:szCs w:val="20"/>
              </w:rPr>
              <w:t>1</w:t>
            </w:r>
            <w:r>
              <w:rPr>
                <w:sz w:val="20"/>
                <w:szCs w:val="20"/>
              </w:rPr>
              <w:t>3.4</w:t>
            </w:r>
          </w:p>
        </w:tc>
        <w:tc>
          <w:tcPr>
            <w:tcW w:w="720" w:type="dxa"/>
          </w:tcPr>
          <w:p w14:paraId="72A9FFEC" w14:textId="77777777" w:rsidR="00D2643B" w:rsidRPr="00B440D4" w:rsidRDefault="00D2643B" w:rsidP="00B440D4">
            <w:pPr>
              <w:tabs>
                <w:tab w:val="decimal" w:pos="282"/>
              </w:tabs>
              <w:spacing w:after="0" w:line="360" w:lineRule="auto"/>
              <w:rPr>
                <w:sz w:val="20"/>
                <w:szCs w:val="20"/>
              </w:rPr>
            </w:pPr>
            <w:r w:rsidRPr="00B440D4">
              <w:rPr>
                <w:sz w:val="20"/>
                <w:szCs w:val="20"/>
              </w:rPr>
              <w:t>0.0</w:t>
            </w:r>
          </w:p>
        </w:tc>
        <w:tc>
          <w:tcPr>
            <w:tcW w:w="720" w:type="dxa"/>
          </w:tcPr>
          <w:p w14:paraId="7ECC0893" w14:textId="77777777" w:rsidR="00D2643B" w:rsidRPr="00B440D4" w:rsidRDefault="00D2643B" w:rsidP="00B440D4">
            <w:pPr>
              <w:tabs>
                <w:tab w:val="decimal" w:pos="282"/>
              </w:tabs>
              <w:spacing w:after="0" w:line="360" w:lineRule="auto"/>
              <w:rPr>
                <w:sz w:val="20"/>
                <w:szCs w:val="20"/>
              </w:rPr>
            </w:pPr>
            <w:r w:rsidRPr="00B440D4">
              <w:rPr>
                <w:sz w:val="20"/>
                <w:szCs w:val="20"/>
              </w:rPr>
              <w:t>0.0</w:t>
            </w:r>
          </w:p>
        </w:tc>
        <w:tc>
          <w:tcPr>
            <w:tcW w:w="720" w:type="dxa"/>
          </w:tcPr>
          <w:p w14:paraId="7471FBBD" w14:textId="77777777" w:rsidR="00D2643B" w:rsidRPr="00B440D4" w:rsidRDefault="00D2643B" w:rsidP="00B440D4">
            <w:pPr>
              <w:tabs>
                <w:tab w:val="decimal" w:pos="282"/>
              </w:tabs>
              <w:spacing w:after="0" w:line="360" w:lineRule="auto"/>
              <w:rPr>
                <w:sz w:val="20"/>
                <w:szCs w:val="20"/>
              </w:rPr>
            </w:pPr>
            <w:r w:rsidRPr="00B440D4">
              <w:rPr>
                <w:sz w:val="20"/>
                <w:szCs w:val="20"/>
              </w:rPr>
              <w:t>0.0</w:t>
            </w:r>
          </w:p>
        </w:tc>
        <w:tc>
          <w:tcPr>
            <w:tcW w:w="720" w:type="dxa"/>
          </w:tcPr>
          <w:p w14:paraId="53D38A1B" w14:textId="77777777" w:rsidR="00D2643B" w:rsidRPr="00B440D4" w:rsidRDefault="00D2643B" w:rsidP="00B440D4">
            <w:pPr>
              <w:tabs>
                <w:tab w:val="decimal" w:pos="282"/>
              </w:tabs>
              <w:spacing w:after="0" w:line="360" w:lineRule="auto"/>
              <w:rPr>
                <w:sz w:val="20"/>
                <w:szCs w:val="20"/>
              </w:rPr>
            </w:pPr>
            <w:r w:rsidRPr="00B440D4">
              <w:rPr>
                <w:sz w:val="20"/>
                <w:szCs w:val="20"/>
              </w:rPr>
              <w:t>11.8</w:t>
            </w:r>
          </w:p>
        </w:tc>
        <w:tc>
          <w:tcPr>
            <w:tcW w:w="810" w:type="dxa"/>
          </w:tcPr>
          <w:p w14:paraId="7565FECE" w14:textId="77777777" w:rsidR="00D2643B" w:rsidRPr="00B440D4" w:rsidRDefault="00D2643B" w:rsidP="00B440D4">
            <w:pPr>
              <w:tabs>
                <w:tab w:val="decimal" w:pos="282"/>
              </w:tabs>
              <w:spacing w:after="0" w:line="360" w:lineRule="auto"/>
              <w:rPr>
                <w:sz w:val="20"/>
                <w:szCs w:val="20"/>
              </w:rPr>
            </w:pPr>
            <w:r w:rsidRPr="00B440D4">
              <w:rPr>
                <w:sz w:val="20"/>
                <w:szCs w:val="20"/>
              </w:rPr>
              <w:t>0.0</w:t>
            </w:r>
          </w:p>
        </w:tc>
        <w:tc>
          <w:tcPr>
            <w:tcW w:w="720" w:type="dxa"/>
          </w:tcPr>
          <w:p w14:paraId="64ED0C3C"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3.8</w:t>
            </w:r>
          </w:p>
        </w:tc>
      </w:tr>
      <w:tr w:rsidR="00D2643B" w:rsidRPr="00B440D4" w14:paraId="55D9F443" w14:textId="77777777" w:rsidTr="00B440D4">
        <w:trPr>
          <w:trHeight w:val="346"/>
        </w:trPr>
        <w:tc>
          <w:tcPr>
            <w:tcW w:w="803" w:type="dxa"/>
          </w:tcPr>
          <w:p w14:paraId="67CA19EA" w14:textId="77777777" w:rsidR="00D2643B" w:rsidRPr="00B440D4" w:rsidRDefault="00D2643B" w:rsidP="00B440D4">
            <w:pPr>
              <w:spacing w:after="0" w:line="360" w:lineRule="auto"/>
              <w:rPr>
                <w:sz w:val="20"/>
                <w:szCs w:val="20"/>
              </w:rPr>
            </w:pPr>
            <w:r w:rsidRPr="00B440D4">
              <w:rPr>
                <w:sz w:val="20"/>
                <w:szCs w:val="20"/>
              </w:rPr>
              <w:t>9 (b)</w:t>
            </w:r>
          </w:p>
        </w:tc>
        <w:tc>
          <w:tcPr>
            <w:tcW w:w="2887" w:type="dxa"/>
          </w:tcPr>
          <w:p w14:paraId="4F5111D4" w14:textId="77777777" w:rsidR="00D2643B" w:rsidRPr="00B440D4" w:rsidRDefault="00D2643B" w:rsidP="00B440D4">
            <w:pPr>
              <w:spacing w:after="0" w:line="360" w:lineRule="auto"/>
              <w:rPr>
                <w:sz w:val="20"/>
                <w:szCs w:val="20"/>
              </w:rPr>
            </w:pPr>
            <w:r w:rsidRPr="00B440D4">
              <w:rPr>
                <w:sz w:val="20"/>
                <w:szCs w:val="20"/>
              </w:rPr>
              <w:t>Investment property at fair value</w:t>
            </w:r>
          </w:p>
        </w:tc>
        <w:tc>
          <w:tcPr>
            <w:tcW w:w="803" w:type="dxa"/>
          </w:tcPr>
          <w:p w14:paraId="7425DA76" w14:textId="77777777" w:rsidR="00D2643B" w:rsidRPr="00B440D4" w:rsidRDefault="00D2643B" w:rsidP="00B440D4">
            <w:pPr>
              <w:tabs>
                <w:tab w:val="decimal" w:pos="282"/>
              </w:tabs>
              <w:spacing w:after="0" w:line="360" w:lineRule="auto"/>
              <w:rPr>
                <w:sz w:val="20"/>
                <w:szCs w:val="20"/>
              </w:rPr>
            </w:pPr>
            <w:r>
              <w:rPr>
                <w:sz w:val="20"/>
                <w:szCs w:val="20"/>
              </w:rPr>
              <w:t>73</w:t>
            </w:r>
            <w:r w:rsidRPr="00B440D4">
              <w:rPr>
                <w:sz w:val="20"/>
                <w:szCs w:val="20"/>
              </w:rPr>
              <w:t>.3</w:t>
            </w:r>
          </w:p>
        </w:tc>
        <w:tc>
          <w:tcPr>
            <w:tcW w:w="720" w:type="dxa"/>
          </w:tcPr>
          <w:p w14:paraId="6B3AE902" w14:textId="77777777" w:rsidR="00D2643B" w:rsidRPr="00B440D4" w:rsidRDefault="007D1A7E" w:rsidP="00B440D4">
            <w:pPr>
              <w:tabs>
                <w:tab w:val="decimal" w:pos="252"/>
              </w:tabs>
              <w:spacing w:after="0" w:line="360" w:lineRule="auto"/>
              <w:jc w:val="center"/>
              <w:rPr>
                <w:sz w:val="20"/>
                <w:szCs w:val="20"/>
              </w:rPr>
            </w:pPr>
            <w:r>
              <w:rPr>
                <w:sz w:val="20"/>
                <w:szCs w:val="20"/>
              </w:rPr>
              <w:t>4</w:t>
            </w:r>
            <w:r w:rsidR="00D2643B" w:rsidRPr="00B440D4">
              <w:rPr>
                <w:sz w:val="20"/>
                <w:szCs w:val="20"/>
              </w:rPr>
              <w:t>0.0</w:t>
            </w:r>
          </w:p>
        </w:tc>
        <w:tc>
          <w:tcPr>
            <w:tcW w:w="693" w:type="dxa"/>
          </w:tcPr>
          <w:p w14:paraId="4E09F394" w14:textId="77777777" w:rsidR="00D2643B" w:rsidRPr="00B440D4" w:rsidRDefault="00D2643B" w:rsidP="00B440D4">
            <w:pPr>
              <w:tabs>
                <w:tab w:val="decimal" w:pos="282"/>
              </w:tabs>
              <w:spacing w:after="0" w:line="360" w:lineRule="auto"/>
              <w:rPr>
                <w:sz w:val="20"/>
                <w:szCs w:val="20"/>
              </w:rPr>
            </w:pPr>
            <w:r w:rsidRPr="00B440D4">
              <w:rPr>
                <w:sz w:val="20"/>
                <w:szCs w:val="20"/>
              </w:rPr>
              <w:t>7</w:t>
            </w:r>
            <w:r>
              <w:rPr>
                <w:sz w:val="20"/>
                <w:szCs w:val="20"/>
              </w:rPr>
              <w:t>2.7</w:t>
            </w:r>
          </w:p>
        </w:tc>
        <w:tc>
          <w:tcPr>
            <w:tcW w:w="720" w:type="dxa"/>
          </w:tcPr>
          <w:p w14:paraId="6ED2465C" w14:textId="77777777" w:rsidR="00D2643B" w:rsidRPr="00B440D4" w:rsidRDefault="00D2643B" w:rsidP="00B440D4">
            <w:pPr>
              <w:tabs>
                <w:tab w:val="decimal" w:pos="282"/>
              </w:tabs>
              <w:spacing w:after="0" w:line="360" w:lineRule="auto"/>
              <w:rPr>
                <w:sz w:val="20"/>
                <w:szCs w:val="20"/>
              </w:rPr>
            </w:pPr>
            <w:r>
              <w:rPr>
                <w:sz w:val="20"/>
                <w:szCs w:val="20"/>
              </w:rPr>
              <w:t>10.0</w:t>
            </w:r>
          </w:p>
        </w:tc>
        <w:tc>
          <w:tcPr>
            <w:tcW w:w="720" w:type="dxa"/>
          </w:tcPr>
          <w:p w14:paraId="13E23036" w14:textId="77777777" w:rsidR="00D2643B" w:rsidRPr="00B440D4" w:rsidRDefault="00D2643B" w:rsidP="00B440D4">
            <w:pPr>
              <w:tabs>
                <w:tab w:val="decimal" w:pos="282"/>
              </w:tabs>
              <w:spacing w:after="0" w:line="360" w:lineRule="auto"/>
              <w:rPr>
                <w:sz w:val="20"/>
                <w:szCs w:val="20"/>
              </w:rPr>
            </w:pPr>
            <w:r w:rsidRPr="00B440D4">
              <w:rPr>
                <w:sz w:val="20"/>
                <w:szCs w:val="20"/>
              </w:rPr>
              <w:t>1</w:t>
            </w:r>
            <w:r>
              <w:rPr>
                <w:sz w:val="20"/>
                <w:szCs w:val="20"/>
              </w:rPr>
              <w:t>2.5</w:t>
            </w:r>
          </w:p>
        </w:tc>
        <w:tc>
          <w:tcPr>
            <w:tcW w:w="720" w:type="dxa"/>
          </w:tcPr>
          <w:p w14:paraId="67603399" w14:textId="77777777" w:rsidR="00D2643B" w:rsidRPr="00B440D4" w:rsidRDefault="00D2643B" w:rsidP="00B440D4">
            <w:pPr>
              <w:tabs>
                <w:tab w:val="decimal" w:pos="282"/>
              </w:tabs>
              <w:spacing w:after="0" w:line="360" w:lineRule="auto"/>
              <w:rPr>
                <w:sz w:val="20"/>
                <w:szCs w:val="20"/>
              </w:rPr>
            </w:pPr>
            <w:r>
              <w:rPr>
                <w:sz w:val="20"/>
                <w:szCs w:val="20"/>
              </w:rPr>
              <w:t>6</w:t>
            </w:r>
            <w:r w:rsidRPr="00B440D4">
              <w:rPr>
                <w:sz w:val="20"/>
                <w:szCs w:val="20"/>
              </w:rPr>
              <w:t>.3</w:t>
            </w:r>
          </w:p>
        </w:tc>
        <w:tc>
          <w:tcPr>
            <w:tcW w:w="720" w:type="dxa"/>
          </w:tcPr>
          <w:p w14:paraId="70A86652" w14:textId="77777777" w:rsidR="00D2643B" w:rsidRPr="00B440D4" w:rsidRDefault="00D2643B" w:rsidP="00B440D4">
            <w:pPr>
              <w:tabs>
                <w:tab w:val="decimal" w:pos="282"/>
              </w:tabs>
              <w:spacing w:after="0" w:line="360" w:lineRule="auto"/>
              <w:rPr>
                <w:sz w:val="20"/>
                <w:szCs w:val="20"/>
              </w:rPr>
            </w:pPr>
            <w:r w:rsidRPr="00B440D4">
              <w:rPr>
                <w:sz w:val="20"/>
                <w:szCs w:val="20"/>
              </w:rPr>
              <w:t>75.0</w:t>
            </w:r>
          </w:p>
        </w:tc>
        <w:tc>
          <w:tcPr>
            <w:tcW w:w="810" w:type="dxa"/>
          </w:tcPr>
          <w:p w14:paraId="076A4DA8" w14:textId="77777777" w:rsidR="00D2643B" w:rsidRPr="00B440D4" w:rsidRDefault="00D2643B" w:rsidP="00B440D4">
            <w:pPr>
              <w:tabs>
                <w:tab w:val="decimal" w:pos="282"/>
              </w:tabs>
              <w:spacing w:after="0" w:line="360" w:lineRule="auto"/>
              <w:rPr>
                <w:sz w:val="20"/>
                <w:szCs w:val="20"/>
              </w:rPr>
            </w:pPr>
            <w:r>
              <w:rPr>
                <w:sz w:val="20"/>
                <w:szCs w:val="20"/>
              </w:rPr>
              <w:t>0.0</w:t>
            </w:r>
          </w:p>
        </w:tc>
        <w:tc>
          <w:tcPr>
            <w:tcW w:w="720" w:type="dxa"/>
          </w:tcPr>
          <w:p w14:paraId="1431CEDF"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100.0</w:t>
            </w:r>
          </w:p>
        </w:tc>
      </w:tr>
      <w:tr w:rsidR="00D2643B" w:rsidRPr="00B440D4" w14:paraId="702DF527" w14:textId="77777777" w:rsidTr="00B440D4">
        <w:trPr>
          <w:trHeight w:val="329"/>
        </w:trPr>
        <w:tc>
          <w:tcPr>
            <w:tcW w:w="803" w:type="dxa"/>
          </w:tcPr>
          <w:p w14:paraId="257C9179" w14:textId="77777777" w:rsidR="00D2643B" w:rsidRPr="00B440D4" w:rsidRDefault="00D2643B" w:rsidP="00B440D4">
            <w:pPr>
              <w:spacing w:after="0" w:line="360" w:lineRule="auto"/>
              <w:rPr>
                <w:sz w:val="20"/>
                <w:szCs w:val="20"/>
              </w:rPr>
            </w:pPr>
            <w:r w:rsidRPr="00B440D4">
              <w:rPr>
                <w:sz w:val="20"/>
                <w:szCs w:val="20"/>
              </w:rPr>
              <w:t>10 (a)*</w:t>
            </w:r>
          </w:p>
        </w:tc>
        <w:tc>
          <w:tcPr>
            <w:tcW w:w="2887" w:type="dxa"/>
          </w:tcPr>
          <w:p w14:paraId="36E58E59" w14:textId="77777777" w:rsidR="00D2643B" w:rsidRPr="00B440D4" w:rsidRDefault="00D2643B" w:rsidP="00B440D4">
            <w:pPr>
              <w:spacing w:after="0" w:line="360" w:lineRule="auto"/>
              <w:rPr>
                <w:sz w:val="20"/>
                <w:szCs w:val="20"/>
              </w:rPr>
            </w:pPr>
            <w:r w:rsidRPr="00B440D4">
              <w:rPr>
                <w:sz w:val="20"/>
                <w:szCs w:val="20"/>
              </w:rPr>
              <w:t>Some fair value designation</w:t>
            </w:r>
          </w:p>
        </w:tc>
        <w:tc>
          <w:tcPr>
            <w:tcW w:w="803" w:type="dxa"/>
          </w:tcPr>
          <w:p w14:paraId="1F92B970" w14:textId="77777777" w:rsidR="00D2643B" w:rsidRPr="00B440D4" w:rsidRDefault="00D2643B" w:rsidP="00B440D4">
            <w:pPr>
              <w:tabs>
                <w:tab w:val="decimal" w:pos="282"/>
              </w:tabs>
              <w:spacing w:after="0" w:line="360" w:lineRule="auto"/>
              <w:rPr>
                <w:sz w:val="20"/>
                <w:szCs w:val="20"/>
              </w:rPr>
            </w:pPr>
            <w:r w:rsidRPr="00B440D4">
              <w:rPr>
                <w:sz w:val="20"/>
                <w:szCs w:val="20"/>
              </w:rPr>
              <w:t>2</w:t>
            </w:r>
            <w:r>
              <w:rPr>
                <w:sz w:val="20"/>
                <w:szCs w:val="20"/>
              </w:rPr>
              <w:t>9.2</w:t>
            </w:r>
          </w:p>
        </w:tc>
        <w:tc>
          <w:tcPr>
            <w:tcW w:w="720" w:type="dxa"/>
          </w:tcPr>
          <w:p w14:paraId="5AE0ADA4" w14:textId="77777777" w:rsidR="00D2643B" w:rsidRPr="00B440D4" w:rsidRDefault="00D2643B" w:rsidP="00B440D4">
            <w:pPr>
              <w:tabs>
                <w:tab w:val="decimal" w:pos="252"/>
              </w:tabs>
              <w:spacing w:after="0" w:line="360" w:lineRule="auto"/>
              <w:jc w:val="center"/>
              <w:rPr>
                <w:sz w:val="20"/>
                <w:szCs w:val="20"/>
              </w:rPr>
            </w:pPr>
            <w:r w:rsidRPr="00B440D4">
              <w:rPr>
                <w:sz w:val="20"/>
                <w:szCs w:val="20"/>
              </w:rPr>
              <w:t>35.3</w:t>
            </w:r>
          </w:p>
        </w:tc>
        <w:tc>
          <w:tcPr>
            <w:tcW w:w="693" w:type="dxa"/>
          </w:tcPr>
          <w:p w14:paraId="78725001" w14:textId="77777777" w:rsidR="00D2643B" w:rsidRPr="00B440D4" w:rsidRDefault="00D2643B" w:rsidP="00B440D4">
            <w:pPr>
              <w:tabs>
                <w:tab w:val="decimal" w:pos="282"/>
              </w:tabs>
              <w:spacing w:after="0" w:line="360" w:lineRule="auto"/>
              <w:rPr>
                <w:sz w:val="20"/>
                <w:szCs w:val="20"/>
              </w:rPr>
            </w:pPr>
            <w:r w:rsidRPr="00B440D4">
              <w:rPr>
                <w:sz w:val="20"/>
                <w:szCs w:val="20"/>
              </w:rPr>
              <w:t>1</w:t>
            </w:r>
            <w:r>
              <w:rPr>
                <w:sz w:val="20"/>
                <w:szCs w:val="20"/>
              </w:rPr>
              <w:t>2.7</w:t>
            </w:r>
          </w:p>
        </w:tc>
        <w:tc>
          <w:tcPr>
            <w:tcW w:w="720" w:type="dxa"/>
          </w:tcPr>
          <w:p w14:paraId="547437FD" w14:textId="77777777" w:rsidR="00D2643B" w:rsidRPr="00B440D4" w:rsidRDefault="00D2643B" w:rsidP="00B440D4">
            <w:pPr>
              <w:tabs>
                <w:tab w:val="decimal" w:pos="282"/>
              </w:tabs>
              <w:spacing w:after="0" w:line="360" w:lineRule="auto"/>
              <w:rPr>
                <w:sz w:val="20"/>
                <w:szCs w:val="20"/>
              </w:rPr>
            </w:pPr>
            <w:r w:rsidRPr="00B440D4">
              <w:rPr>
                <w:sz w:val="20"/>
                <w:szCs w:val="20"/>
              </w:rPr>
              <w:t>17.4</w:t>
            </w:r>
          </w:p>
        </w:tc>
        <w:tc>
          <w:tcPr>
            <w:tcW w:w="720" w:type="dxa"/>
          </w:tcPr>
          <w:p w14:paraId="0994C80B" w14:textId="77777777" w:rsidR="00D2643B" w:rsidRPr="00B440D4" w:rsidRDefault="00D2643B" w:rsidP="00B440D4">
            <w:pPr>
              <w:tabs>
                <w:tab w:val="decimal" w:pos="282"/>
              </w:tabs>
              <w:spacing w:after="0" w:line="360" w:lineRule="auto"/>
              <w:rPr>
                <w:sz w:val="20"/>
                <w:szCs w:val="20"/>
              </w:rPr>
            </w:pPr>
            <w:r w:rsidRPr="00B440D4">
              <w:rPr>
                <w:sz w:val="20"/>
                <w:szCs w:val="20"/>
              </w:rPr>
              <w:t>33.3</w:t>
            </w:r>
          </w:p>
        </w:tc>
        <w:tc>
          <w:tcPr>
            <w:tcW w:w="720" w:type="dxa"/>
          </w:tcPr>
          <w:p w14:paraId="2BCB0D63" w14:textId="77777777" w:rsidR="00D2643B" w:rsidRPr="00B440D4" w:rsidRDefault="00D2643B" w:rsidP="00B440D4">
            <w:pPr>
              <w:tabs>
                <w:tab w:val="decimal" w:pos="282"/>
              </w:tabs>
              <w:spacing w:after="0" w:line="360" w:lineRule="auto"/>
              <w:rPr>
                <w:sz w:val="20"/>
                <w:szCs w:val="20"/>
              </w:rPr>
            </w:pPr>
            <w:r w:rsidRPr="00B440D4">
              <w:rPr>
                <w:sz w:val="20"/>
                <w:szCs w:val="20"/>
              </w:rPr>
              <w:t>19.0</w:t>
            </w:r>
          </w:p>
        </w:tc>
        <w:tc>
          <w:tcPr>
            <w:tcW w:w="720" w:type="dxa"/>
          </w:tcPr>
          <w:p w14:paraId="27CD5C11" w14:textId="77777777" w:rsidR="00D2643B" w:rsidRPr="00B440D4" w:rsidRDefault="00D2643B" w:rsidP="00B440D4">
            <w:pPr>
              <w:tabs>
                <w:tab w:val="decimal" w:pos="282"/>
              </w:tabs>
              <w:spacing w:after="0" w:line="360" w:lineRule="auto"/>
              <w:rPr>
                <w:sz w:val="20"/>
                <w:szCs w:val="20"/>
              </w:rPr>
            </w:pPr>
            <w:r w:rsidRPr="00B440D4">
              <w:rPr>
                <w:sz w:val="20"/>
                <w:szCs w:val="20"/>
              </w:rPr>
              <w:t>75.0</w:t>
            </w:r>
          </w:p>
        </w:tc>
        <w:tc>
          <w:tcPr>
            <w:tcW w:w="810" w:type="dxa"/>
          </w:tcPr>
          <w:p w14:paraId="0C51CE7F" w14:textId="77777777" w:rsidR="00D2643B" w:rsidRPr="00B440D4" w:rsidRDefault="00D2643B" w:rsidP="00B440D4">
            <w:pPr>
              <w:tabs>
                <w:tab w:val="decimal" w:pos="282"/>
              </w:tabs>
              <w:spacing w:after="0" w:line="360" w:lineRule="auto"/>
              <w:rPr>
                <w:sz w:val="20"/>
                <w:szCs w:val="20"/>
              </w:rPr>
            </w:pPr>
            <w:r w:rsidRPr="00B440D4">
              <w:rPr>
                <w:sz w:val="20"/>
                <w:szCs w:val="20"/>
              </w:rPr>
              <w:t>12.5</w:t>
            </w:r>
          </w:p>
        </w:tc>
        <w:tc>
          <w:tcPr>
            <w:tcW w:w="720" w:type="dxa"/>
          </w:tcPr>
          <w:p w14:paraId="396B9B34"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52.6</w:t>
            </w:r>
          </w:p>
        </w:tc>
      </w:tr>
      <w:tr w:rsidR="00D2643B" w:rsidRPr="00B440D4" w14:paraId="7D5615A4" w14:textId="77777777" w:rsidTr="00B440D4">
        <w:trPr>
          <w:trHeight w:val="346"/>
        </w:trPr>
        <w:tc>
          <w:tcPr>
            <w:tcW w:w="803" w:type="dxa"/>
          </w:tcPr>
          <w:p w14:paraId="2E22BC26" w14:textId="77777777" w:rsidR="00D2643B" w:rsidRPr="00B440D4" w:rsidRDefault="00D2643B" w:rsidP="00B440D4">
            <w:pPr>
              <w:spacing w:after="0" w:line="360" w:lineRule="auto"/>
              <w:rPr>
                <w:sz w:val="20"/>
                <w:szCs w:val="20"/>
              </w:rPr>
            </w:pPr>
            <w:r w:rsidRPr="00B440D4">
              <w:rPr>
                <w:sz w:val="20"/>
                <w:szCs w:val="20"/>
              </w:rPr>
              <w:t>11 (a)†</w:t>
            </w:r>
          </w:p>
        </w:tc>
        <w:tc>
          <w:tcPr>
            <w:tcW w:w="2887" w:type="dxa"/>
          </w:tcPr>
          <w:p w14:paraId="0598D5B3" w14:textId="77777777" w:rsidR="00D2643B" w:rsidRPr="00B440D4" w:rsidRDefault="00D2643B" w:rsidP="00B440D4">
            <w:pPr>
              <w:spacing w:after="0" w:line="360" w:lineRule="auto"/>
              <w:rPr>
                <w:sz w:val="20"/>
                <w:szCs w:val="20"/>
              </w:rPr>
            </w:pPr>
            <w:r w:rsidRPr="00B440D4">
              <w:rPr>
                <w:sz w:val="20"/>
                <w:szCs w:val="20"/>
              </w:rPr>
              <w:t>Interest capitalisation</w:t>
            </w:r>
          </w:p>
        </w:tc>
        <w:tc>
          <w:tcPr>
            <w:tcW w:w="803" w:type="dxa"/>
          </w:tcPr>
          <w:p w14:paraId="534AE9FA" w14:textId="77777777" w:rsidR="00D2643B" w:rsidRPr="00B440D4" w:rsidRDefault="00D2643B" w:rsidP="00B440D4">
            <w:pPr>
              <w:tabs>
                <w:tab w:val="decimal" w:pos="282"/>
              </w:tabs>
              <w:spacing w:after="0" w:line="360" w:lineRule="auto"/>
              <w:rPr>
                <w:sz w:val="20"/>
                <w:szCs w:val="20"/>
              </w:rPr>
            </w:pPr>
            <w:r w:rsidRPr="00B440D4">
              <w:rPr>
                <w:sz w:val="20"/>
                <w:szCs w:val="20"/>
              </w:rPr>
              <w:t>8</w:t>
            </w:r>
            <w:r>
              <w:rPr>
                <w:sz w:val="20"/>
                <w:szCs w:val="20"/>
              </w:rPr>
              <w:t>7.1</w:t>
            </w:r>
          </w:p>
        </w:tc>
        <w:tc>
          <w:tcPr>
            <w:tcW w:w="720" w:type="dxa"/>
          </w:tcPr>
          <w:p w14:paraId="7BFEED44" w14:textId="77777777" w:rsidR="00D2643B" w:rsidRPr="00B440D4" w:rsidRDefault="00D2643B" w:rsidP="00B440D4">
            <w:pPr>
              <w:tabs>
                <w:tab w:val="decimal" w:pos="252"/>
              </w:tabs>
              <w:spacing w:after="0" w:line="360" w:lineRule="auto"/>
              <w:jc w:val="center"/>
              <w:rPr>
                <w:sz w:val="20"/>
                <w:szCs w:val="20"/>
              </w:rPr>
            </w:pPr>
            <w:r w:rsidRPr="00B440D4">
              <w:rPr>
                <w:sz w:val="20"/>
                <w:szCs w:val="20"/>
              </w:rPr>
              <w:t>-</w:t>
            </w:r>
          </w:p>
        </w:tc>
        <w:tc>
          <w:tcPr>
            <w:tcW w:w="693" w:type="dxa"/>
          </w:tcPr>
          <w:p w14:paraId="7DE1348C" w14:textId="77777777" w:rsidR="00D2643B" w:rsidRPr="00B440D4" w:rsidRDefault="00D2643B" w:rsidP="00B440D4">
            <w:pPr>
              <w:tabs>
                <w:tab w:val="decimal" w:pos="282"/>
              </w:tabs>
              <w:spacing w:after="0" w:line="360" w:lineRule="auto"/>
              <w:rPr>
                <w:sz w:val="20"/>
                <w:szCs w:val="20"/>
              </w:rPr>
            </w:pPr>
            <w:r w:rsidRPr="00B440D4">
              <w:rPr>
                <w:sz w:val="20"/>
                <w:szCs w:val="20"/>
              </w:rPr>
              <w:t>57.</w:t>
            </w:r>
            <w:r>
              <w:rPr>
                <w:sz w:val="20"/>
                <w:szCs w:val="20"/>
              </w:rPr>
              <w:t>4</w:t>
            </w:r>
          </w:p>
        </w:tc>
        <w:tc>
          <w:tcPr>
            <w:tcW w:w="720" w:type="dxa"/>
          </w:tcPr>
          <w:p w14:paraId="43A9DFF6" w14:textId="77777777" w:rsidR="00D2643B" w:rsidRPr="00B440D4" w:rsidRDefault="00D2643B" w:rsidP="00B440D4">
            <w:pPr>
              <w:tabs>
                <w:tab w:val="decimal" w:pos="282"/>
              </w:tabs>
              <w:spacing w:after="0" w:line="360" w:lineRule="auto"/>
              <w:rPr>
                <w:sz w:val="20"/>
                <w:szCs w:val="20"/>
              </w:rPr>
            </w:pPr>
            <w:r w:rsidRPr="00B440D4">
              <w:rPr>
                <w:sz w:val="20"/>
                <w:szCs w:val="20"/>
              </w:rPr>
              <w:t>41.7</w:t>
            </w:r>
          </w:p>
        </w:tc>
        <w:tc>
          <w:tcPr>
            <w:tcW w:w="720" w:type="dxa"/>
          </w:tcPr>
          <w:p w14:paraId="6701B901" w14:textId="77777777" w:rsidR="00D2643B" w:rsidRPr="00B440D4" w:rsidRDefault="00D2643B" w:rsidP="00B440D4">
            <w:pPr>
              <w:tabs>
                <w:tab w:val="decimal" w:pos="282"/>
              </w:tabs>
              <w:spacing w:after="0" w:line="360" w:lineRule="auto"/>
              <w:rPr>
                <w:sz w:val="20"/>
                <w:szCs w:val="20"/>
              </w:rPr>
            </w:pPr>
            <w:r w:rsidRPr="00B440D4">
              <w:rPr>
                <w:sz w:val="20"/>
                <w:szCs w:val="20"/>
              </w:rPr>
              <w:t>44.4</w:t>
            </w:r>
          </w:p>
        </w:tc>
        <w:tc>
          <w:tcPr>
            <w:tcW w:w="720" w:type="dxa"/>
          </w:tcPr>
          <w:p w14:paraId="482356FF" w14:textId="77777777" w:rsidR="00D2643B" w:rsidRPr="00B440D4" w:rsidRDefault="00D2643B" w:rsidP="00B440D4">
            <w:pPr>
              <w:tabs>
                <w:tab w:val="decimal" w:pos="282"/>
              </w:tabs>
              <w:spacing w:after="0" w:line="360" w:lineRule="auto"/>
              <w:rPr>
                <w:sz w:val="20"/>
                <w:szCs w:val="20"/>
              </w:rPr>
            </w:pPr>
            <w:r w:rsidRPr="00B440D4">
              <w:rPr>
                <w:sz w:val="20"/>
                <w:szCs w:val="20"/>
              </w:rPr>
              <w:t>100.0</w:t>
            </w:r>
          </w:p>
        </w:tc>
        <w:tc>
          <w:tcPr>
            <w:tcW w:w="720" w:type="dxa"/>
          </w:tcPr>
          <w:p w14:paraId="0ECD433D" w14:textId="77777777" w:rsidR="00D2643B" w:rsidRPr="00B440D4" w:rsidRDefault="00D2643B" w:rsidP="00B440D4">
            <w:pPr>
              <w:tabs>
                <w:tab w:val="decimal" w:pos="282"/>
              </w:tabs>
              <w:spacing w:after="0" w:line="360" w:lineRule="auto"/>
              <w:rPr>
                <w:sz w:val="20"/>
                <w:szCs w:val="20"/>
              </w:rPr>
            </w:pPr>
            <w:r w:rsidRPr="00B440D4">
              <w:rPr>
                <w:sz w:val="20"/>
                <w:szCs w:val="20"/>
              </w:rPr>
              <w:t>66.6</w:t>
            </w:r>
          </w:p>
        </w:tc>
        <w:tc>
          <w:tcPr>
            <w:tcW w:w="810" w:type="dxa"/>
          </w:tcPr>
          <w:p w14:paraId="73994363" w14:textId="77777777" w:rsidR="00D2643B" w:rsidRPr="00B440D4" w:rsidRDefault="00D2643B" w:rsidP="00B440D4">
            <w:pPr>
              <w:tabs>
                <w:tab w:val="decimal" w:pos="282"/>
              </w:tabs>
              <w:spacing w:after="0" w:line="360" w:lineRule="auto"/>
              <w:rPr>
                <w:sz w:val="20"/>
                <w:szCs w:val="20"/>
              </w:rPr>
            </w:pPr>
            <w:r>
              <w:rPr>
                <w:sz w:val="20"/>
                <w:szCs w:val="20"/>
              </w:rPr>
              <w:t>33.3</w:t>
            </w:r>
          </w:p>
        </w:tc>
        <w:tc>
          <w:tcPr>
            <w:tcW w:w="720" w:type="dxa"/>
          </w:tcPr>
          <w:p w14:paraId="59BB3110"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33.3</w:t>
            </w:r>
          </w:p>
        </w:tc>
      </w:tr>
      <w:tr w:rsidR="00D2643B" w:rsidRPr="00B440D4" w14:paraId="2C7B9220" w14:textId="77777777" w:rsidTr="00B440D4">
        <w:trPr>
          <w:trHeight w:val="346"/>
        </w:trPr>
        <w:tc>
          <w:tcPr>
            <w:tcW w:w="803" w:type="dxa"/>
          </w:tcPr>
          <w:p w14:paraId="6A8924D2" w14:textId="77777777" w:rsidR="00D2643B" w:rsidRPr="00B440D4" w:rsidRDefault="00D2643B" w:rsidP="00B440D4">
            <w:pPr>
              <w:spacing w:after="0" w:line="360" w:lineRule="auto"/>
              <w:rPr>
                <w:sz w:val="20"/>
                <w:szCs w:val="20"/>
              </w:rPr>
            </w:pPr>
            <w:r w:rsidRPr="00B440D4">
              <w:rPr>
                <w:sz w:val="20"/>
                <w:szCs w:val="20"/>
              </w:rPr>
              <w:t>12 (b)*</w:t>
            </w:r>
          </w:p>
        </w:tc>
        <w:tc>
          <w:tcPr>
            <w:tcW w:w="2887" w:type="dxa"/>
          </w:tcPr>
          <w:p w14:paraId="2A566A07" w14:textId="77777777" w:rsidR="00D2643B" w:rsidRPr="00B440D4" w:rsidRDefault="00D2643B" w:rsidP="00B440D4">
            <w:pPr>
              <w:spacing w:after="0" w:line="360" w:lineRule="auto"/>
              <w:rPr>
                <w:sz w:val="20"/>
                <w:szCs w:val="20"/>
              </w:rPr>
            </w:pPr>
            <w:r w:rsidRPr="00B440D4">
              <w:rPr>
                <w:sz w:val="20"/>
                <w:szCs w:val="20"/>
              </w:rPr>
              <w:t>Weighted average only</w:t>
            </w:r>
          </w:p>
        </w:tc>
        <w:tc>
          <w:tcPr>
            <w:tcW w:w="803" w:type="dxa"/>
          </w:tcPr>
          <w:p w14:paraId="502E4AEF" w14:textId="77777777" w:rsidR="00D2643B" w:rsidRPr="00B440D4" w:rsidRDefault="00D2643B" w:rsidP="00B440D4">
            <w:pPr>
              <w:tabs>
                <w:tab w:val="decimal" w:pos="282"/>
              </w:tabs>
              <w:spacing w:after="0" w:line="360" w:lineRule="auto"/>
              <w:rPr>
                <w:sz w:val="20"/>
                <w:szCs w:val="20"/>
              </w:rPr>
            </w:pPr>
            <w:r w:rsidRPr="00B440D4">
              <w:rPr>
                <w:sz w:val="20"/>
                <w:szCs w:val="20"/>
              </w:rPr>
              <w:t>52.9</w:t>
            </w:r>
          </w:p>
        </w:tc>
        <w:tc>
          <w:tcPr>
            <w:tcW w:w="720" w:type="dxa"/>
          </w:tcPr>
          <w:p w14:paraId="1AFD9C1A" w14:textId="77777777" w:rsidR="00D2643B" w:rsidRPr="00B440D4" w:rsidRDefault="00D2643B" w:rsidP="00B440D4">
            <w:pPr>
              <w:tabs>
                <w:tab w:val="decimal" w:pos="252"/>
              </w:tabs>
              <w:spacing w:after="0" w:line="360" w:lineRule="auto"/>
              <w:jc w:val="center"/>
              <w:rPr>
                <w:sz w:val="20"/>
                <w:szCs w:val="20"/>
              </w:rPr>
            </w:pPr>
            <w:r w:rsidRPr="00B440D4">
              <w:rPr>
                <w:sz w:val="20"/>
                <w:szCs w:val="20"/>
              </w:rPr>
              <w:t>63.0</w:t>
            </w:r>
          </w:p>
        </w:tc>
        <w:tc>
          <w:tcPr>
            <w:tcW w:w="693" w:type="dxa"/>
          </w:tcPr>
          <w:p w14:paraId="0E5A4CCB" w14:textId="77777777" w:rsidR="00D2643B" w:rsidRPr="00B440D4" w:rsidRDefault="00D2643B" w:rsidP="00B440D4">
            <w:pPr>
              <w:tabs>
                <w:tab w:val="decimal" w:pos="282"/>
              </w:tabs>
              <w:spacing w:after="0" w:line="360" w:lineRule="auto"/>
              <w:rPr>
                <w:sz w:val="20"/>
                <w:szCs w:val="20"/>
              </w:rPr>
            </w:pPr>
            <w:r w:rsidRPr="00B440D4">
              <w:rPr>
                <w:sz w:val="20"/>
                <w:szCs w:val="20"/>
              </w:rPr>
              <w:t>30.0</w:t>
            </w:r>
          </w:p>
        </w:tc>
        <w:tc>
          <w:tcPr>
            <w:tcW w:w="720" w:type="dxa"/>
          </w:tcPr>
          <w:p w14:paraId="3940B5D4" w14:textId="77777777" w:rsidR="00D2643B" w:rsidRPr="00B440D4" w:rsidRDefault="00D2643B" w:rsidP="00B440D4">
            <w:pPr>
              <w:tabs>
                <w:tab w:val="decimal" w:pos="282"/>
              </w:tabs>
              <w:spacing w:after="0" w:line="360" w:lineRule="auto"/>
              <w:rPr>
                <w:sz w:val="20"/>
                <w:szCs w:val="20"/>
              </w:rPr>
            </w:pPr>
            <w:r w:rsidRPr="00B440D4">
              <w:rPr>
                <w:sz w:val="20"/>
                <w:szCs w:val="20"/>
              </w:rPr>
              <w:t>7</w:t>
            </w:r>
            <w:r>
              <w:rPr>
                <w:sz w:val="20"/>
                <w:szCs w:val="20"/>
              </w:rPr>
              <w:t>6.2</w:t>
            </w:r>
          </w:p>
        </w:tc>
        <w:tc>
          <w:tcPr>
            <w:tcW w:w="720" w:type="dxa"/>
          </w:tcPr>
          <w:p w14:paraId="028C54B2" w14:textId="77777777" w:rsidR="00D2643B" w:rsidRPr="00B440D4" w:rsidRDefault="00D2643B" w:rsidP="00B440D4">
            <w:pPr>
              <w:tabs>
                <w:tab w:val="decimal" w:pos="282"/>
              </w:tabs>
              <w:spacing w:after="0" w:line="360" w:lineRule="auto"/>
              <w:rPr>
                <w:sz w:val="20"/>
                <w:szCs w:val="20"/>
              </w:rPr>
            </w:pPr>
            <w:r w:rsidRPr="00B440D4">
              <w:rPr>
                <w:sz w:val="20"/>
                <w:szCs w:val="20"/>
              </w:rPr>
              <w:t>50.0</w:t>
            </w:r>
          </w:p>
        </w:tc>
        <w:tc>
          <w:tcPr>
            <w:tcW w:w="720" w:type="dxa"/>
          </w:tcPr>
          <w:p w14:paraId="5C99D980" w14:textId="77777777" w:rsidR="00D2643B" w:rsidRPr="00B440D4" w:rsidRDefault="00D2643B" w:rsidP="00B440D4">
            <w:pPr>
              <w:tabs>
                <w:tab w:val="decimal" w:pos="282"/>
              </w:tabs>
              <w:spacing w:after="0" w:line="360" w:lineRule="auto"/>
              <w:rPr>
                <w:sz w:val="20"/>
                <w:szCs w:val="20"/>
              </w:rPr>
            </w:pPr>
            <w:r w:rsidRPr="00B440D4">
              <w:rPr>
                <w:sz w:val="20"/>
                <w:szCs w:val="20"/>
              </w:rPr>
              <w:t>8</w:t>
            </w:r>
            <w:r>
              <w:rPr>
                <w:sz w:val="20"/>
                <w:szCs w:val="20"/>
              </w:rPr>
              <w:t>3.3</w:t>
            </w:r>
          </w:p>
        </w:tc>
        <w:tc>
          <w:tcPr>
            <w:tcW w:w="720" w:type="dxa"/>
          </w:tcPr>
          <w:p w14:paraId="1539DD1F" w14:textId="77777777" w:rsidR="00D2643B" w:rsidRPr="00B440D4" w:rsidRDefault="00D2643B" w:rsidP="00B440D4">
            <w:pPr>
              <w:tabs>
                <w:tab w:val="decimal" w:pos="282"/>
              </w:tabs>
              <w:spacing w:after="0" w:line="360" w:lineRule="auto"/>
              <w:rPr>
                <w:sz w:val="20"/>
                <w:szCs w:val="20"/>
              </w:rPr>
            </w:pPr>
            <w:r w:rsidRPr="00B440D4">
              <w:rPr>
                <w:sz w:val="20"/>
                <w:szCs w:val="20"/>
              </w:rPr>
              <w:t>41.7</w:t>
            </w:r>
          </w:p>
        </w:tc>
        <w:tc>
          <w:tcPr>
            <w:tcW w:w="810" w:type="dxa"/>
          </w:tcPr>
          <w:p w14:paraId="67E49BAB" w14:textId="77777777" w:rsidR="00D2643B" w:rsidRPr="00B440D4" w:rsidRDefault="00D2643B" w:rsidP="00B440D4">
            <w:pPr>
              <w:tabs>
                <w:tab w:val="decimal" w:pos="282"/>
              </w:tabs>
              <w:spacing w:after="0" w:line="360" w:lineRule="auto"/>
              <w:rPr>
                <w:sz w:val="20"/>
                <w:szCs w:val="20"/>
              </w:rPr>
            </w:pPr>
            <w:r w:rsidRPr="00B440D4">
              <w:rPr>
                <w:sz w:val="20"/>
                <w:szCs w:val="20"/>
              </w:rPr>
              <w:t>78.6</w:t>
            </w:r>
          </w:p>
        </w:tc>
        <w:tc>
          <w:tcPr>
            <w:tcW w:w="720" w:type="dxa"/>
          </w:tcPr>
          <w:p w14:paraId="4834CBCF"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10.0</w:t>
            </w:r>
          </w:p>
        </w:tc>
      </w:tr>
      <w:tr w:rsidR="00D2643B" w:rsidRPr="00B440D4" w14:paraId="641A5552" w14:textId="77777777" w:rsidTr="00B440D4">
        <w:trPr>
          <w:trHeight w:val="346"/>
        </w:trPr>
        <w:tc>
          <w:tcPr>
            <w:tcW w:w="803" w:type="dxa"/>
          </w:tcPr>
          <w:p w14:paraId="1BA1ABDF" w14:textId="77777777" w:rsidR="00D2643B" w:rsidRPr="00B440D4" w:rsidRDefault="00D2643B" w:rsidP="00B440D4">
            <w:pPr>
              <w:spacing w:after="0" w:line="360" w:lineRule="auto"/>
              <w:rPr>
                <w:sz w:val="20"/>
                <w:szCs w:val="20"/>
              </w:rPr>
            </w:pPr>
            <w:r w:rsidRPr="00B440D4">
              <w:rPr>
                <w:sz w:val="20"/>
                <w:szCs w:val="20"/>
              </w:rPr>
              <w:t>13 (a)</w:t>
            </w:r>
          </w:p>
        </w:tc>
        <w:tc>
          <w:tcPr>
            <w:tcW w:w="2887" w:type="dxa"/>
          </w:tcPr>
          <w:p w14:paraId="244B401D" w14:textId="77777777" w:rsidR="00D2643B" w:rsidRPr="00B440D4" w:rsidRDefault="00D2643B" w:rsidP="00B440D4">
            <w:pPr>
              <w:spacing w:after="0" w:line="360" w:lineRule="auto"/>
              <w:rPr>
                <w:sz w:val="20"/>
                <w:szCs w:val="20"/>
              </w:rPr>
            </w:pPr>
            <w:r w:rsidRPr="00B440D4">
              <w:rPr>
                <w:sz w:val="20"/>
                <w:szCs w:val="20"/>
              </w:rPr>
              <w:t>Actuarial gains/losses to OCI</w:t>
            </w:r>
          </w:p>
        </w:tc>
        <w:tc>
          <w:tcPr>
            <w:tcW w:w="803" w:type="dxa"/>
          </w:tcPr>
          <w:p w14:paraId="75E7518D" w14:textId="77777777" w:rsidR="00D2643B" w:rsidRPr="00B440D4" w:rsidRDefault="00D2643B" w:rsidP="00B440D4">
            <w:pPr>
              <w:tabs>
                <w:tab w:val="decimal" w:pos="282"/>
              </w:tabs>
              <w:spacing w:after="0" w:line="360" w:lineRule="auto"/>
              <w:rPr>
                <w:sz w:val="20"/>
                <w:szCs w:val="20"/>
              </w:rPr>
            </w:pPr>
            <w:r w:rsidRPr="00B440D4">
              <w:rPr>
                <w:sz w:val="20"/>
                <w:szCs w:val="20"/>
              </w:rPr>
              <w:t>86.7</w:t>
            </w:r>
          </w:p>
        </w:tc>
        <w:tc>
          <w:tcPr>
            <w:tcW w:w="720" w:type="dxa"/>
          </w:tcPr>
          <w:p w14:paraId="46309731" w14:textId="77777777" w:rsidR="00D2643B" w:rsidRPr="00B440D4" w:rsidRDefault="00D2643B" w:rsidP="00B440D4">
            <w:pPr>
              <w:tabs>
                <w:tab w:val="decimal" w:pos="252"/>
              </w:tabs>
              <w:spacing w:after="0" w:line="360" w:lineRule="auto"/>
              <w:jc w:val="center"/>
              <w:rPr>
                <w:sz w:val="20"/>
                <w:szCs w:val="20"/>
              </w:rPr>
            </w:pPr>
            <w:r w:rsidRPr="00B440D4">
              <w:rPr>
                <w:sz w:val="20"/>
                <w:szCs w:val="20"/>
              </w:rPr>
              <w:t>79.6</w:t>
            </w:r>
          </w:p>
        </w:tc>
        <w:tc>
          <w:tcPr>
            <w:tcW w:w="693" w:type="dxa"/>
          </w:tcPr>
          <w:p w14:paraId="51250E23" w14:textId="77777777" w:rsidR="00D2643B" w:rsidRPr="00B440D4" w:rsidRDefault="00D2643B" w:rsidP="00B440D4">
            <w:pPr>
              <w:tabs>
                <w:tab w:val="decimal" w:pos="282"/>
              </w:tabs>
              <w:spacing w:after="0" w:line="360" w:lineRule="auto"/>
              <w:rPr>
                <w:sz w:val="20"/>
                <w:szCs w:val="20"/>
              </w:rPr>
            </w:pPr>
            <w:r>
              <w:rPr>
                <w:sz w:val="20"/>
                <w:szCs w:val="20"/>
              </w:rPr>
              <w:t>85</w:t>
            </w:r>
            <w:r w:rsidRPr="00B440D4">
              <w:rPr>
                <w:sz w:val="20"/>
                <w:szCs w:val="20"/>
              </w:rPr>
              <w:t>.4</w:t>
            </w:r>
          </w:p>
        </w:tc>
        <w:tc>
          <w:tcPr>
            <w:tcW w:w="720" w:type="dxa"/>
          </w:tcPr>
          <w:p w14:paraId="159C3EAB" w14:textId="77777777" w:rsidR="00D2643B" w:rsidRPr="00B440D4" w:rsidRDefault="00D2643B" w:rsidP="00B440D4">
            <w:pPr>
              <w:tabs>
                <w:tab w:val="decimal" w:pos="282"/>
              </w:tabs>
              <w:spacing w:after="0" w:line="360" w:lineRule="auto"/>
              <w:rPr>
                <w:sz w:val="20"/>
                <w:szCs w:val="20"/>
              </w:rPr>
            </w:pPr>
            <w:r w:rsidRPr="00B440D4">
              <w:rPr>
                <w:sz w:val="20"/>
                <w:szCs w:val="20"/>
              </w:rPr>
              <w:t>63.3</w:t>
            </w:r>
          </w:p>
        </w:tc>
        <w:tc>
          <w:tcPr>
            <w:tcW w:w="720" w:type="dxa"/>
          </w:tcPr>
          <w:p w14:paraId="261CD374" w14:textId="77777777" w:rsidR="00D2643B" w:rsidRPr="00B440D4" w:rsidRDefault="00D2643B" w:rsidP="00B440D4">
            <w:pPr>
              <w:tabs>
                <w:tab w:val="decimal" w:pos="282"/>
              </w:tabs>
              <w:spacing w:after="0" w:line="360" w:lineRule="auto"/>
              <w:rPr>
                <w:sz w:val="20"/>
                <w:szCs w:val="20"/>
              </w:rPr>
            </w:pPr>
            <w:r w:rsidRPr="00B440D4">
              <w:rPr>
                <w:sz w:val="20"/>
                <w:szCs w:val="20"/>
              </w:rPr>
              <w:t>50.0</w:t>
            </w:r>
          </w:p>
        </w:tc>
        <w:tc>
          <w:tcPr>
            <w:tcW w:w="720" w:type="dxa"/>
          </w:tcPr>
          <w:p w14:paraId="3AE8DEDC" w14:textId="77777777" w:rsidR="00D2643B" w:rsidRPr="00B440D4" w:rsidRDefault="00D2643B" w:rsidP="00B440D4">
            <w:pPr>
              <w:tabs>
                <w:tab w:val="decimal" w:pos="282"/>
              </w:tabs>
              <w:spacing w:after="0" w:line="360" w:lineRule="auto"/>
              <w:rPr>
                <w:sz w:val="20"/>
                <w:szCs w:val="20"/>
              </w:rPr>
            </w:pPr>
            <w:r>
              <w:rPr>
                <w:sz w:val="20"/>
                <w:szCs w:val="20"/>
              </w:rPr>
              <w:t>57.8</w:t>
            </w:r>
          </w:p>
        </w:tc>
        <w:tc>
          <w:tcPr>
            <w:tcW w:w="720" w:type="dxa"/>
          </w:tcPr>
          <w:p w14:paraId="12BA6FF9" w14:textId="77777777" w:rsidR="00D2643B" w:rsidRPr="00B440D4" w:rsidRDefault="00D2643B" w:rsidP="00B440D4">
            <w:pPr>
              <w:tabs>
                <w:tab w:val="decimal" w:pos="282"/>
              </w:tabs>
              <w:spacing w:after="0" w:line="360" w:lineRule="auto"/>
              <w:rPr>
                <w:sz w:val="20"/>
                <w:szCs w:val="20"/>
              </w:rPr>
            </w:pPr>
            <w:r w:rsidRPr="00B440D4">
              <w:rPr>
                <w:sz w:val="20"/>
                <w:szCs w:val="20"/>
              </w:rPr>
              <w:t>31.3</w:t>
            </w:r>
          </w:p>
        </w:tc>
        <w:tc>
          <w:tcPr>
            <w:tcW w:w="810" w:type="dxa"/>
          </w:tcPr>
          <w:p w14:paraId="156652F7" w14:textId="77777777" w:rsidR="00D2643B" w:rsidRPr="00B440D4" w:rsidRDefault="00D2643B" w:rsidP="00B440D4">
            <w:pPr>
              <w:tabs>
                <w:tab w:val="decimal" w:pos="282"/>
              </w:tabs>
              <w:spacing w:after="0" w:line="360" w:lineRule="auto"/>
              <w:rPr>
                <w:sz w:val="20"/>
                <w:szCs w:val="20"/>
              </w:rPr>
            </w:pPr>
            <w:r w:rsidRPr="00B440D4">
              <w:rPr>
                <w:sz w:val="20"/>
                <w:szCs w:val="20"/>
              </w:rPr>
              <w:t>2</w:t>
            </w:r>
            <w:r>
              <w:rPr>
                <w:sz w:val="20"/>
                <w:szCs w:val="20"/>
              </w:rPr>
              <w:t>4.0</w:t>
            </w:r>
          </w:p>
        </w:tc>
        <w:tc>
          <w:tcPr>
            <w:tcW w:w="720" w:type="dxa"/>
          </w:tcPr>
          <w:p w14:paraId="1189875A"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20.0</w:t>
            </w:r>
          </w:p>
        </w:tc>
      </w:tr>
      <w:tr w:rsidR="00D2643B" w:rsidRPr="00B440D4" w14:paraId="24839AD0" w14:textId="77777777" w:rsidTr="00B440D4">
        <w:trPr>
          <w:trHeight w:val="363"/>
        </w:trPr>
        <w:tc>
          <w:tcPr>
            <w:tcW w:w="803" w:type="dxa"/>
          </w:tcPr>
          <w:p w14:paraId="61480B85" w14:textId="77777777" w:rsidR="00D2643B" w:rsidRPr="00B440D4" w:rsidRDefault="00D2643B" w:rsidP="00B440D4">
            <w:pPr>
              <w:spacing w:after="0" w:line="360" w:lineRule="auto"/>
              <w:rPr>
                <w:sz w:val="20"/>
                <w:szCs w:val="20"/>
              </w:rPr>
            </w:pPr>
            <w:r w:rsidRPr="00B440D4">
              <w:rPr>
                <w:sz w:val="20"/>
                <w:szCs w:val="20"/>
              </w:rPr>
              <w:t>14 (a)</w:t>
            </w:r>
          </w:p>
        </w:tc>
        <w:tc>
          <w:tcPr>
            <w:tcW w:w="2887" w:type="dxa"/>
          </w:tcPr>
          <w:p w14:paraId="23EEDA44" w14:textId="77777777" w:rsidR="00D2643B" w:rsidRPr="00B440D4" w:rsidRDefault="00D2643B" w:rsidP="00B440D4">
            <w:pPr>
              <w:spacing w:after="0" w:line="360" w:lineRule="auto"/>
              <w:rPr>
                <w:sz w:val="20"/>
                <w:szCs w:val="20"/>
              </w:rPr>
            </w:pPr>
            <w:r w:rsidRPr="00B440D4">
              <w:rPr>
                <w:sz w:val="20"/>
                <w:szCs w:val="20"/>
              </w:rPr>
              <w:t>Proportional consolidation of JV</w:t>
            </w:r>
          </w:p>
        </w:tc>
        <w:tc>
          <w:tcPr>
            <w:tcW w:w="803" w:type="dxa"/>
          </w:tcPr>
          <w:p w14:paraId="1D381A3A" w14:textId="77777777" w:rsidR="00D2643B" w:rsidRPr="00B440D4" w:rsidRDefault="00D2643B" w:rsidP="00B440D4">
            <w:pPr>
              <w:tabs>
                <w:tab w:val="decimal" w:pos="282"/>
              </w:tabs>
              <w:spacing w:after="0" w:line="360" w:lineRule="auto"/>
              <w:rPr>
                <w:sz w:val="20"/>
                <w:szCs w:val="20"/>
              </w:rPr>
            </w:pPr>
            <w:r w:rsidRPr="00B440D4">
              <w:rPr>
                <w:sz w:val="20"/>
                <w:szCs w:val="20"/>
              </w:rPr>
              <w:t>11.5</w:t>
            </w:r>
          </w:p>
        </w:tc>
        <w:tc>
          <w:tcPr>
            <w:tcW w:w="720" w:type="dxa"/>
          </w:tcPr>
          <w:p w14:paraId="0C52ED67" w14:textId="77777777" w:rsidR="00D2643B" w:rsidRPr="00B440D4" w:rsidRDefault="00D2643B" w:rsidP="00B440D4">
            <w:pPr>
              <w:tabs>
                <w:tab w:val="decimal" w:pos="252"/>
              </w:tabs>
              <w:spacing w:after="0" w:line="360" w:lineRule="auto"/>
              <w:jc w:val="center"/>
              <w:rPr>
                <w:sz w:val="20"/>
                <w:szCs w:val="20"/>
              </w:rPr>
            </w:pPr>
            <w:r w:rsidRPr="00B440D4">
              <w:rPr>
                <w:sz w:val="20"/>
                <w:szCs w:val="20"/>
              </w:rPr>
              <w:t>63.0</w:t>
            </w:r>
          </w:p>
        </w:tc>
        <w:tc>
          <w:tcPr>
            <w:tcW w:w="693" w:type="dxa"/>
          </w:tcPr>
          <w:p w14:paraId="646A4316" w14:textId="77777777" w:rsidR="00D2643B" w:rsidRPr="00B440D4" w:rsidRDefault="00D2643B" w:rsidP="00B440D4">
            <w:pPr>
              <w:tabs>
                <w:tab w:val="decimal" w:pos="282"/>
              </w:tabs>
              <w:spacing w:after="0" w:line="360" w:lineRule="auto"/>
              <w:rPr>
                <w:sz w:val="20"/>
                <w:szCs w:val="20"/>
              </w:rPr>
            </w:pPr>
            <w:r w:rsidRPr="00B440D4">
              <w:rPr>
                <w:sz w:val="20"/>
                <w:szCs w:val="20"/>
              </w:rPr>
              <w:t>2</w:t>
            </w:r>
            <w:r>
              <w:rPr>
                <w:sz w:val="20"/>
                <w:szCs w:val="20"/>
              </w:rPr>
              <w:t>2.6</w:t>
            </w:r>
          </w:p>
        </w:tc>
        <w:tc>
          <w:tcPr>
            <w:tcW w:w="720" w:type="dxa"/>
          </w:tcPr>
          <w:p w14:paraId="5B9C8572" w14:textId="77777777" w:rsidR="00D2643B" w:rsidRPr="00B440D4" w:rsidRDefault="00D2643B" w:rsidP="00B440D4">
            <w:pPr>
              <w:tabs>
                <w:tab w:val="decimal" w:pos="282"/>
              </w:tabs>
              <w:spacing w:after="0" w:line="360" w:lineRule="auto"/>
              <w:rPr>
                <w:sz w:val="20"/>
                <w:szCs w:val="20"/>
              </w:rPr>
            </w:pPr>
            <w:r w:rsidRPr="00B440D4">
              <w:rPr>
                <w:sz w:val="20"/>
                <w:szCs w:val="20"/>
              </w:rPr>
              <w:t>15.8</w:t>
            </w:r>
          </w:p>
        </w:tc>
        <w:tc>
          <w:tcPr>
            <w:tcW w:w="720" w:type="dxa"/>
          </w:tcPr>
          <w:p w14:paraId="1EB85A2E" w14:textId="77777777" w:rsidR="00D2643B" w:rsidRPr="00B440D4" w:rsidRDefault="00D2643B" w:rsidP="00B440D4">
            <w:pPr>
              <w:tabs>
                <w:tab w:val="decimal" w:pos="282"/>
              </w:tabs>
              <w:spacing w:after="0" w:line="360" w:lineRule="auto"/>
              <w:rPr>
                <w:sz w:val="20"/>
                <w:szCs w:val="20"/>
              </w:rPr>
            </w:pPr>
            <w:r w:rsidRPr="00B440D4">
              <w:rPr>
                <w:sz w:val="20"/>
                <w:szCs w:val="20"/>
              </w:rPr>
              <w:t>75.8</w:t>
            </w:r>
          </w:p>
        </w:tc>
        <w:tc>
          <w:tcPr>
            <w:tcW w:w="720" w:type="dxa"/>
          </w:tcPr>
          <w:p w14:paraId="2168628A" w14:textId="77777777" w:rsidR="00D2643B" w:rsidRPr="00B440D4" w:rsidRDefault="00D2643B" w:rsidP="00B440D4">
            <w:pPr>
              <w:tabs>
                <w:tab w:val="decimal" w:pos="282"/>
              </w:tabs>
              <w:spacing w:after="0" w:line="360" w:lineRule="auto"/>
              <w:rPr>
                <w:sz w:val="20"/>
                <w:szCs w:val="20"/>
              </w:rPr>
            </w:pPr>
            <w:r>
              <w:rPr>
                <w:sz w:val="20"/>
                <w:szCs w:val="20"/>
              </w:rPr>
              <w:t>88.0</w:t>
            </w:r>
          </w:p>
        </w:tc>
        <w:tc>
          <w:tcPr>
            <w:tcW w:w="720" w:type="dxa"/>
          </w:tcPr>
          <w:p w14:paraId="3C991B14" w14:textId="77777777" w:rsidR="00D2643B" w:rsidRPr="00B440D4" w:rsidRDefault="00D2643B" w:rsidP="00B440D4">
            <w:pPr>
              <w:tabs>
                <w:tab w:val="decimal" w:pos="282"/>
              </w:tabs>
              <w:spacing w:after="0" w:line="360" w:lineRule="auto"/>
              <w:rPr>
                <w:sz w:val="20"/>
                <w:szCs w:val="20"/>
              </w:rPr>
            </w:pPr>
            <w:r w:rsidRPr="00B440D4">
              <w:rPr>
                <w:sz w:val="20"/>
                <w:szCs w:val="20"/>
              </w:rPr>
              <w:t>46.0</w:t>
            </w:r>
          </w:p>
        </w:tc>
        <w:tc>
          <w:tcPr>
            <w:tcW w:w="810" w:type="dxa"/>
          </w:tcPr>
          <w:p w14:paraId="58B0AB07" w14:textId="77777777" w:rsidR="00D2643B" w:rsidRPr="00B440D4" w:rsidRDefault="00D2643B" w:rsidP="00B440D4">
            <w:pPr>
              <w:tabs>
                <w:tab w:val="decimal" w:pos="282"/>
              </w:tabs>
              <w:spacing w:after="0" w:line="360" w:lineRule="auto"/>
              <w:rPr>
                <w:sz w:val="20"/>
                <w:szCs w:val="20"/>
              </w:rPr>
            </w:pPr>
            <w:r>
              <w:rPr>
                <w:sz w:val="20"/>
                <w:szCs w:val="20"/>
              </w:rPr>
              <w:t>40.0</w:t>
            </w:r>
          </w:p>
        </w:tc>
        <w:tc>
          <w:tcPr>
            <w:tcW w:w="720" w:type="dxa"/>
          </w:tcPr>
          <w:p w14:paraId="0C9E0071" w14:textId="77777777" w:rsidR="00D2643B" w:rsidRPr="00B440D4" w:rsidRDefault="00D2643B" w:rsidP="00B440D4">
            <w:pPr>
              <w:tabs>
                <w:tab w:val="decimal" w:pos="252"/>
                <w:tab w:val="decimal" w:pos="342"/>
              </w:tabs>
              <w:spacing w:after="0" w:line="360" w:lineRule="auto"/>
              <w:jc w:val="center"/>
              <w:rPr>
                <w:sz w:val="20"/>
                <w:szCs w:val="20"/>
              </w:rPr>
            </w:pPr>
            <w:r w:rsidRPr="00B440D4">
              <w:rPr>
                <w:sz w:val="20"/>
                <w:szCs w:val="20"/>
              </w:rPr>
              <w:t>33.3</w:t>
            </w:r>
          </w:p>
        </w:tc>
      </w:tr>
      <w:tr w:rsidR="00D2643B" w:rsidRPr="00B440D4" w14:paraId="7431A49E" w14:textId="77777777" w:rsidTr="00B440D4">
        <w:trPr>
          <w:trHeight w:val="363"/>
        </w:trPr>
        <w:tc>
          <w:tcPr>
            <w:tcW w:w="10316" w:type="dxa"/>
            <w:gridSpan w:val="11"/>
            <w:tcBorders>
              <w:bottom w:val="single" w:sz="4" w:space="0" w:color="auto"/>
            </w:tcBorders>
          </w:tcPr>
          <w:p w14:paraId="67D6D409" w14:textId="77777777" w:rsidR="00D2643B" w:rsidRPr="00B440D4" w:rsidRDefault="00D2643B" w:rsidP="00B440D4">
            <w:pPr>
              <w:pStyle w:val="ListParagraph"/>
              <w:spacing w:after="0" w:line="240" w:lineRule="auto"/>
              <w:ind w:left="65"/>
              <w:rPr>
                <w:sz w:val="20"/>
                <w:szCs w:val="20"/>
              </w:rPr>
            </w:pPr>
            <w:r w:rsidRPr="00B440D4">
              <w:rPr>
                <w:sz w:val="20"/>
                <w:szCs w:val="20"/>
              </w:rPr>
              <w:t>The table shows the companies choosing a particular policy as a percentage of the companies exhibiting a policy for the topic. For several topics, the N is the total from Table 6. In a few cases (e.g. topic 9), the N is much smaller.</w:t>
            </w:r>
          </w:p>
          <w:p w14:paraId="37913922" w14:textId="77777777" w:rsidR="00D2643B" w:rsidRPr="00B440D4" w:rsidRDefault="00D2643B" w:rsidP="00B440D4">
            <w:pPr>
              <w:pStyle w:val="ListParagraph"/>
              <w:spacing w:after="0" w:line="240" w:lineRule="auto"/>
              <w:ind w:left="65"/>
              <w:rPr>
                <w:sz w:val="20"/>
                <w:szCs w:val="20"/>
              </w:rPr>
            </w:pPr>
            <w:r w:rsidRPr="00B440D4">
              <w:rPr>
                <w:sz w:val="20"/>
                <w:szCs w:val="20"/>
              </w:rPr>
              <w:t>*  Non-financial companies only.</w:t>
            </w:r>
          </w:p>
          <w:p w14:paraId="59499B5A" w14:textId="77777777" w:rsidR="00D2643B" w:rsidRPr="00B440D4" w:rsidRDefault="00D2643B" w:rsidP="00B440D4">
            <w:pPr>
              <w:pStyle w:val="ListParagraph"/>
              <w:spacing w:after="0" w:line="240" w:lineRule="auto"/>
              <w:ind w:left="65"/>
              <w:rPr>
                <w:sz w:val="20"/>
                <w:szCs w:val="20"/>
              </w:rPr>
            </w:pPr>
            <w:r w:rsidRPr="00B440D4">
              <w:t xml:space="preserve">† </w:t>
            </w:r>
            <w:r w:rsidRPr="00B440D4">
              <w:rPr>
                <w:sz w:val="20"/>
                <w:szCs w:val="20"/>
              </w:rPr>
              <w:t>Options removed for 2011 statements or before; see Table 3.</w:t>
            </w:r>
          </w:p>
          <w:p w14:paraId="77D9A8E7" w14:textId="77777777" w:rsidR="00D2643B" w:rsidRPr="00B440D4" w:rsidRDefault="00D2643B" w:rsidP="00B440D4">
            <w:pPr>
              <w:pStyle w:val="ListParagraph"/>
              <w:spacing w:after="0" w:line="240" w:lineRule="auto"/>
              <w:ind w:left="65"/>
              <w:rPr>
                <w:sz w:val="20"/>
                <w:szCs w:val="20"/>
              </w:rPr>
            </w:pPr>
          </w:p>
        </w:tc>
      </w:tr>
    </w:tbl>
    <w:p w14:paraId="2F854799" w14:textId="77777777" w:rsidR="00D2643B" w:rsidRDefault="00D2643B" w:rsidP="003F0909">
      <w:pPr>
        <w:spacing w:line="480" w:lineRule="auto"/>
        <w:ind w:left="360" w:hanging="360"/>
        <w:sectPr w:rsidR="00D2643B" w:rsidSect="00FF6ED6">
          <w:headerReference w:type="even" r:id="rId16"/>
          <w:headerReference w:type="default" r:id="rId17"/>
          <w:pgSz w:w="11906" w:h="16838"/>
          <w:pgMar w:top="1440" w:right="1800" w:bottom="1440" w:left="1800" w:header="706" w:footer="70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38"/>
        <w:gridCol w:w="3420"/>
        <w:gridCol w:w="1350"/>
        <w:gridCol w:w="1350"/>
        <w:gridCol w:w="1350"/>
      </w:tblGrid>
      <w:tr w:rsidR="00D2643B" w:rsidRPr="00B440D4" w14:paraId="70CDB7E9" w14:textId="77777777" w:rsidTr="00B440D4">
        <w:tc>
          <w:tcPr>
            <w:tcW w:w="8208" w:type="dxa"/>
            <w:gridSpan w:val="5"/>
            <w:tcBorders>
              <w:top w:val="single" w:sz="4" w:space="0" w:color="auto"/>
            </w:tcBorders>
          </w:tcPr>
          <w:p w14:paraId="27187859" w14:textId="77777777" w:rsidR="00D2643B" w:rsidRPr="00B440D4" w:rsidRDefault="00D2643B" w:rsidP="00B440D4">
            <w:pPr>
              <w:spacing w:before="240" w:after="120" w:line="240" w:lineRule="auto"/>
              <w:rPr>
                <w:b/>
              </w:rPr>
            </w:pPr>
            <w:r w:rsidRPr="00B440D4">
              <w:rPr>
                <w:b/>
              </w:rPr>
              <w:lastRenderedPageBreak/>
              <w:t>Table 8.  Canadian policy choices by sector (percentages*)</w:t>
            </w:r>
          </w:p>
        </w:tc>
      </w:tr>
      <w:tr w:rsidR="00D2643B" w:rsidRPr="00B440D4" w14:paraId="23754A65" w14:textId="77777777" w:rsidTr="00B440D4">
        <w:tc>
          <w:tcPr>
            <w:tcW w:w="738" w:type="dxa"/>
          </w:tcPr>
          <w:p w14:paraId="1F154DB9" w14:textId="77777777" w:rsidR="00D2643B" w:rsidRPr="00B440D4" w:rsidRDefault="00D2643B" w:rsidP="00B440D4">
            <w:pPr>
              <w:spacing w:after="0" w:line="240" w:lineRule="auto"/>
              <w:rPr>
                <w:b/>
              </w:rPr>
            </w:pPr>
          </w:p>
        </w:tc>
        <w:tc>
          <w:tcPr>
            <w:tcW w:w="3420" w:type="dxa"/>
          </w:tcPr>
          <w:p w14:paraId="0F53713A" w14:textId="77777777" w:rsidR="00D2643B" w:rsidRPr="00B440D4" w:rsidRDefault="00D2643B" w:rsidP="00B440D4">
            <w:pPr>
              <w:spacing w:after="0" w:line="240" w:lineRule="auto"/>
              <w:rPr>
                <w:b/>
              </w:rPr>
            </w:pPr>
          </w:p>
        </w:tc>
        <w:tc>
          <w:tcPr>
            <w:tcW w:w="1350" w:type="dxa"/>
          </w:tcPr>
          <w:p w14:paraId="0F2B6855" w14:textId="77777777" w:rsidR="00D2643B" w:rsidRPr="00B440D4" w:rsidRDefault="00D2643B" w:rsidP="00B440D4">
            <w:pPr>
              <w:spacing w:after="0" w:line="240" w:lineRule="auto"/>
              <w:jc w:val="center"/>
              <w:rPr>
                <w:b/>
                <w:sz w:val="20"/>
                <w:szCs w:val="20"/>
              </w:rPr>
            </w:pPr>
            <w:r w:rsidRPr="00B440D4">
              <w:rPr>
                <w:b/>
                <w:sz w:val="20"/>
                <w:szCs w:val="20"/>
              </w:rPr>
              <w:t>Extractive</w:t>
            </w:r>
          </w:p>
        </w:tc>
        <w:tc>
          <w:tcPr>
            <w:tcW w:w="1350" w:type="dxa"/>
          </w:tcPr>
          <w:p w14:paraId="0F4E4971" w14:textId="77777777" w:rsidR="00D2643B" w:rsidRPr="00B440D4" w:rsidRDefault="00D2643B" w:rsidP="00B440D4">
            <w:pPr>
              <w:spacing w:after="0" w:line="240" w:lineRule="auto"/>
              <w:jc w:val="center"/>
              <w:rPr>
                <w:b/>
                <w:sz w:val="20"/>
                <w:szCs w:val="20"/>
              </w:rPr>
            </w:pPr>
            <w:r w:rsidRPr="00B440D4">
              <w:rPr>
                <w:b/>
                <w:sz w:val="20"/>
                <w:szCs w:val="20"/>
              </w:rPr>
              <w:t>Other</w:t>
            </w:r>
          </w:p>
        </w:tc>
        <w:tc>
          <w:tcPr>
            <w:tcW w:w="1350" w:type="dxa"/>
          </w:tcPr>
          <w:p w14:paraId="49642F3E" w14:textId="77777777" w:rsidR="00D2643B" w:rsidRPr="00B440D4" w:rsidRDefault="00D2643B" w:rsidP="00B440D4">
            <w:pPr>
              <w:spacing w:after="0" w:line="240" w:lineRule="auto"/>
              <w:jc w:val="center"/>
              <w:rPr>
                <w:b/>
                <w:sz w:val="20"/>
                <w:szCs w:val="20"/>
              </w:rPr>
            </w:pPr>
            <w:r w:rsidRPr="00B440D4">
              <w:rPr>
                <w:b/>
                <w:sz w:val="20"/>
                <w:szCs w:val="20"/>
              </w:rPr>
              <w:t>Financial</w:t>
            </w:r>
          </w:p>
        </w:tc>
      </w:tr>
      <w:tr w:rsidR="00D2643B" w:rsidRPr="00B440D4" w14:paraId="5D28A78F" w14:textId="77777777" w:rsidTr="00B440D4">
        <w:tc>
          <w:tcPr>
            <w:tcW w:w="738" w:type="dxa"/>
          </w:tcPr>
          <w:p w14:paraId="65B3DB9B" w14:textId="77777777" w:rsidR="00D2643B" w:rsidRPr="00B440D4" w:rsidRDefault="007D1A7E" w:rsidP="00B440D4">
            <w:pPr>
              <w:spacing w:after="60" w:line="240" w:lineRule="auto"/>
              <w:rPr>
                <w:sz w:val="20"/>
                <w:szCs w:val="20"/>
              </w:rPr>
            </w:pPr>
            <w:r>
              <w:rPr>
                <w:sz w:val="20"/>
                <w:szCs w:val="20"/>
              </w:rPr>
              <w:t xml:space="preserve">  </w:t>
            </w:r>
            <w:r w:rsidR="00D2643B" w:rsidRPr="00B440D4">
              <w:rPr>
                <w:sz w:val="20"/>
                <w:szCs w:val="20"/>
              </w:rPr>
              <w:t>4 (a)</w:t>
            </w:r>
          </w:p>
        </w:tc>
        <w:tc>
          <w:tcPr>
            <w:tcW w:w="3420" w:type="dxa"/>
          </w:tcPr>
          <w:p w14:paraId="3FFCBE1F" w14:textId="77777777" w:rsidR="00D2643B" w:rsidRPr="00B440D4" w:rsidRDefault="00D2643B" w:rsidP="00B440D4">
            <w:pPr>
              <w:spacing w:after="60" w:line="240" w:lineRule="auto"/>
              <w:rPr>
                <w:sz w:val="20"/>
                <w:szCs w:val="20"/>
              </w:rPr>
            </w:pPr>
            <w:r w:rsidRPr="00B440D4">
              <w:rPr>
                <w:sz w:val="20"/>
                <w:szCs w:val="20"/>
              </w:rPr>
              <w:t>Equity accounting profit in ‘operating’</w:t>
            </w:r>
          </w:p>
        </w:tc>
        <w:tc>
          <w:tcPr>
            <w:tcW w:w="1350" w:type="dxa"/>
          </w:tcPr>
          <w:p w14:paraId="5E168BEB" w14:textId="77777777" w:rsidR="00D2643B" w:rsidRPr="00B440D4" w:rsidRDefault="00DF06C3" w:rsidP="00B440D4">
            <w:pPr>
              <w:tabs>
                <w:tab w:val="decimal" w:pos="612"/>
              </w:tabs>
              <w:spacing w:after="60" w:line="240" w:lineRule="auto"/>
              <w:rPr>
                <w:sz w:val="20"/>
                <w:szCs w:val="20"/>
              </w:rPr>
            </w:pPr>
            <w:r>
              <w:rPr>
                <w:sz w:val="20"/>
                <w:szCs w:val="20"/>
              </w:rPr>
              <w:t>33.3</w:t>
            </w:r>
          </w:p>
        </w:tc>
        <w:tc>
          <w:tcPr>
            <w:tcW w:w="1350" w:type="dxa"/>
          </w:tcPr>
          <w:p w14:paraId="22029C5A" w14:textId="77777777" w:rsidR="00D2643B" w:rsidRPr="00B440D4" w:rsidRDefault="00DF06C3" w:rsidP="00B440D4">
            <w:pPr>
              <w:tabs>
                <w:tab w:val="decimal" w:pos="612"/>
              </w:tabs>
              <w:spacing w:after="60" w:line="240" w:lineRule="auto"/>
              <w:rPr>
                <w:sz w:val="20"/>
                <w:szCs w:val="20"/>
              </w:rPr>
            </w:pPr>
            <w:r>
              <w:rPr>
                <w:sz w:val="20"/>
                <w:szCs w:val="20"/>
              </w:rPr>
              <w:t>28.6</w:t>
            </w:r>
          </w:p>
        </w:tc>
        <w:tc>
          <w:tcPr>
            <w:tcW w:w="1350" w:type="dxa"/>
          </w:tcPr>
          <w:p w14:paraId="5934E456" w14:textId="77777777" w:rsidR="00D2643B" w:rsidRPr="00B440D4" w:rsidRDefault="00D2643B" w:rsidP="00B440D4">
            <w:pPr>
              <w:tabs>
                <w:tab w:val="decimal" w:pos="612"/>
              </w:tabs>
              <w:spacing w:after="60" w:line="240" w:lineRule="auto"/>
              <w:rPr>
                <w:sz w:val="20"/>
                <w:szCs w:val="20"/>
              </w:rPr>
            </w:pPr>
            <w:r w:rsidRPr="00B440D4">
              <w:rPr>
                <w:sz w:val="20"/>
                <w:szCs w:val="20"/>
              </w:rPr>
              <w:t>-</w:t>
            </w:r>
          </w:p>
        </w:tc>
      </w:tr>
      <w:tr w:rsidR="00D2643B" w:rsidRPr="00B440D4" w14:paraId="1630C1D7" w14:textId="77777777" w:rsidTr="00B440D4">
        <w:tc>
          <w:tcPr>
            <w:tcW w:w="738" w:type="dxa"/>
          </w:tcPr>
          <w:p w14:paraId="7BB0FD80" w14:textId="77777777" w:rsidR="00D2643B" w:rsidRPr="00B440D4" w:rsidRDefault="00D2643B" w:rsidP="00B440D4">
            <w:pPr>
              <w:spacing w:after="60" w:line="240" w:lineRule="auto"/>
              <w:rPr>
                <w:sz w:val="20"/>
                <w:szCs w:val="20"/>
              </w:rPr>
            </w:pPr>
            <w:r w:rsidRPr="00B440D4">
              <w:rPr>
                <w:sz w:val="20"/>
                <w:szCs w:val="20"/>
              </w:rPr>
              <w:t xml:space="preserve">     (b)</w:t>
            </w:r>
          </w:p>
        </w:tc>
        <w:tc>
          <w:tcPr>
            <w:tcW w:w="3420" w:type="dxa"/>
          </w:tcPr>
          <w:p w14:paraId="4FFA0E8F" w14:textId="77777777" w:rsidR="00D2643B" w:rsidRPr="00B440D4" w:rsidRDefault="00D2643B" w:rsidP="00B440D4">
            <w:pPr>
              <w:spacing w:after="60" w:line="240" w:lineRule="auto"/>
              <w:rPr>
                <w:sz w:val="20"/>
                <w:szCs w:val="20"/>
              </w:rPr>
            </w:pPr>
            <w:r w:rsidRPr="00B440D4">
              <w:rPr>
                <w:sz w:val="20"/>
                <w:szCs w:val="20"/>
              </w:rPr>
              <w:t>Immediately after</w:t>
            </w:r>
          </w:p>
        </w:tc>
        <w:tc>
          <w:tcPr>
            <w:tcW w:w="1350" w:type="dxa"/>
          </w:tcPr>
          <w:p w14:paraId="470D75EA" w14:textId="77777777" w:rsidR="00D2643B" w:rsidRPr="00B440D4" w:rsidRDefault="00D2643B" w:rsidP="00B440D4">
            <w:pPr>
              <w:tabs>
                <w:tab w:val="decimal" w:pos="612"/>
              </w:tabs>
              <w:spacing w:after="60" w:line="240" w:lineRule="auto"/>
              <w:rPr>
                <w:sz w:val="20"/>
                <w:szCs w:val="20"/>
              </w:rPr>
            </w:pPr>
            <w:r w:rsidRPr="00B440D4">
              <w:rPr>
                <w:sz w:val="20"/>
                <w:szCs w:val="20"/>
              </w:rPr>
              <w:t>4</w:t>
            </w:r>
            <w:r w:rsidR="00DF06C3">
              <w:rPr>
                <w:sz w:val="20"/>
                <w:szCs w:val="20"/>
              </w:rPr>
              <w:t>4.4</w:t>
            </w:r>
          </w:p>
        </w:tc>
        <w:tc>
          <w:tcPr>
            <w:tcW w:w="1350" w:type="dxa"/>
          </w:tcPr>
          <w:p w14:paraId="6A717669" w14:textId="77777777" w:rsidR="00D2643B" w:rsidRPr="00B440D4" w:rsidRDefault="00DF06C3" w:rsidP="00B440D4">
            <w:pPr>
              <w:tabs>
                <w:tab w:val="decimal" w:pos="612"/>
              </w:tabs>
              <w:spacing w:after="60" w:line="240" w:lineRule="auto"/>
              <w:rPr>
                <w:sz w:val="20"/>
                <w:szCs w:val="20"/>
              </w:rPr>
            </w:pPr>
            <w:r>
              <w:rPr>
                <w:sz w:val="20"/>
                <w:szCs w:val="20"/>
              </w:rPr>
              <w:t>14.3</w:t>
            </w:r>
          </w:p>
        </w:tc>
        <w:tc>
          <w:tcPr>
            <w:tcW w:w="1350" w:type="dxa"/>
          </w:tcPr>
          <w:p w14:paraId="1DD88345" w14:textId="77777777" w:rsidR="00D2643B" w:rsidRPr="00B440D4" w:rsidRDefault="00D2643B" w:rsidP="00B440D4">
            <w:pPr>
              <w:tabs>
                <w:tab w:val="decimal" w:pos="612"/>
              </w:tabs>
              <w:spacing w:after="60" w:line="240" w:lineRule="auto"/>
              <w:rPr>
                <w:sz w:val="20"/>
                <w:szCs w:val="20"/>
              </w:rPr>
            </w:pPr>
            <w:r w:rsidRPr="00B440D4">
              <w:rPr>
                <w:sz w:val="20"/>
                <w:szCs w:val="20"/>
              </w:rPr>
              <w:t>-</w:t>
            </w:r>
          </w:p>
        </w:tc>
      </w:tr>
      <w:tr w:rsidR="00D2643B" w:rsidRPr="00B440D4" w14:paraId="43000135" w14:textId="77777777" w:rsidTr="00B440D4">
        <w:tc>
          <w:tcPr>
            <w:tcW w:w="738" w:type="dxa"/>
          </w:tcPr>
          <w:p w14:paraId="67890B6D" w14:textId="77777777" w:rsidR="00D2643B" w:rsidRPr="00B440D4" w:rsidRDefault="00D2643B" w:rsidP="00B440D4">
            <w:pPr>
              <w:spacing w:after="60" w:line="240" w:lineRule="auto"/>
              <w:rPr>
                <w:sz w:val="20"/>
                <w:szCs w:val="20"/>
              </w:rPr>
            </w:pPr>
            <w:r w:rsidRPr="00B440D4">
              <w:rPr>
                <w:sz w:val="20"/>
                <w:szCs w:val="20"/>
              </w:rPr>
              <w:t xml:space="preserve">     (c)</w:t>
            </w:r>
          </w:p>
        </w:tc>
        <w:tc>
          <w:tcPr>
            <w:tcW w:w="3420" w:type="dxa"/>
          </w:tcPr>
          <w:p w14:paraId="0F8848E4" w14:textId="77777777" w:rsidR="00D2643B" w:rsidRPr="00B440D4" w:rsidRDefault="00D2643B" w:rsidP="00B440D4">
            <w:pPr>
              <w:spacing w:after="60" w:line="240" w:lineRule="auto"/>
              <w:rPr>
                <w:sz w:val="20"/>
                <w:szCs w:val="20"/>
              </w:rPr>
            </w:pPr>
            <w:r w:rsidRPr="00B440D4">
              <w:rPr>
                <w:sz w:val="20"/>
                <w:szCs w:val="20"/>
              </w:rPr>
              <w:t>Below finance items</w:t>
            </w:r>
          </w:p>
        </w:tc>
        <w:tc>
          <w:tcPr>
            <w:tcW w:w="1350" w:type="dxa"/>
          </w:tcPr>
          <w:p w14:paraId="7A6102B4" w14:textId="77777777" w:rsidR="00D2643B" w:rsidRPr="00B440D4" w:rsidRDefault="00D2643B" w:rsidP="00B440D4">
            <w:pPr>
              <w:tabs>
                <w:tab w:val="decimal" w:pos="612"/>
              </w:tabs>
              <w:spacing w:after="60" w:line="240" w:lineRule="auto"/>
              <w:rPr>
                <w:sz w:val="20"/>
                <w:szCs w:val="20"/>
              </w:rPr>
            </w:pPr>
            <w:r w:rsidRPr="00B440D4">
              <w:rPr>
                <w:sz w:val="20"/>
                <w:szCs w:val="20"/>
              </w:rPr>
              <w:t>2</w:t>
            </w:r>
            <w:r w:rsidR="00DF06C3">
              <w:rPr>
                <w:sz w:val="20"/>
                <w:szCs w:val="20"/>
              </w:rPr>
              <w:t>2.2</w:t>
            </w:r>
          </w:p>
        </w:tc>
        <w:tc>
          <w:tcPr>
            <w:tcW w:w="1350" w:type="dxa"/>
          </w:tcPr>
          <w:p w14:paraId="76B1B636" w14:textId="77777777" w:rsidR="00D2643B" w:rsidRPr="00B440D4" w:rsidRDefault="00DF06C3" w:rsidP="00B440D4">
            <w:pPr>
              <w:tabs>
                <w:tab w:val="decimal" w:pos="612"/>
              </w:tabs>
              <w:spacing w:after="60" w:line="240" w:lineRule="auto"/>
              <w:rPr>
                <w:sz w:val="20"/>
                <w:szCs w:val="20"/>
              </w:rPr>
            </w:pPr>
            <w:r>
              <w:rPr>
                <w:sz w:val="20"/>
                <w:szCs w:val="20"/>
              </w:rPr>
              <w:t>57.1</w:t>
            </w:r>
          </w:p>
        </w:tc>
        <w:tc>
          <w:tcPr>
            <w:tcW w:w="1350" w:type="dxa"/>
          </w:tcPr>
          <w:p w14:paraId="1AA83B84" w14:textId="77777777" w:rsidR="00D2643B" w:rsidRPr="00B440D4" w:rsidRDefault="00D2643B" w:rsidP="00B440D4">
            <w:pPr>
              <w:tabs>
                <w:tab w:val="decimal" w:pos="612"/>
              </w:tabs>
              <w:spacing w:after="60" w:line="240" w:lineRule="auto"/>
              <w:rPr>
                <w:sz w:val="20"/>
                <w:szCs w:val="20"/>
              </w:rPr>
            </w:pPr>
            <w:r w:rsidRPr="00B440D4">
              <w:rPr>
                <w:sz w:val="20"/>
                <w:szCs w:val="20"/>
              </w:rPr>
              <w:t>-</w:t>
            </w:r>
          </w:p>
        </w:tc>
      </w:tr>
      <w:tr w:rsidR="00D2643B" w:rsidRPr="00B440D4" w14:paraId="4460CC38" w14:textId="77777777" w:rsidTr="00B440D4">
        <w:tc>
          <w:tcPr>
            <w:tcW w:w="738" w:type="dxa"/>
          </w:tcPr>
          <w:p w14:paraId="723B2851" w14:textId="77777777" w:rsidR="00D2643B" w:rsidRPr="00B440D4" w:rsidRDefault="00D2643B" w:rsidP="00B440D4">
            <w:pPr>
              <w:spacing w:after="60" w:line="240" w:lineRule="auto"/>
              <w:rPr>
                <w:sz w:val="20"/>
                <w:szCs w:val="20"/>
              </w:rPr>
            </w:pPr>
            <w:r w:rsidRPr="00B440D4">
              <w:rPr>
                <w:sz w:val="20"/>
                <w:szCs w:val="20"/>
              </w:rPr>
              <w:t xml:space="preserve">  9 (b)</w:t>
            </w:r>
          </w:p>
        </w:tc>
        <w:tc>
          <w:tcPr>
            <w:tcW w:w="3420" w:type="dxa"/>
          </w:tcPr>
          <w:p w14:paraId="62869200" w14:textId="77777777" w:rsidR="00D2643B" w:rsidRPr="00B440D4" w:rsidRDefault="00D2643B" w:rsidP="00B440D4">
            <w:pPr>
              <w:spacing w:after="60" w:line="240" w:lineRule="auto"/>
              <w:rPr>
                <w:sz w:val="20"/>
                <w:szCs w:val="20"/>
              </w:rPr>
            </w:pPr>
            <w:r w:rsidRPr="00B440D4">
              <w:rPr>
                <w:sz w:val="20"/>
                <w:szCs w:val="20"/>
              </w:rPr>
              <w:t>Investment property at fair value</w:t>
            </w:r>
          </w:p>
        </w:tc>
        <w:tc>
          <w:tcPr>
            <w:tcW w:w="1350" w:type="dxa"/>
          </w:tcPr>
          <w:p w14:paraId="5F9BFD77" w14:textId="77777777" w:rsidR="00D2643B" w:rsidRPr="00B440D4" w:rsidRDefault="00D2643B" w:rsidP="00B440D4">
            <w:pPr>
              <w:tabs>
                <w:tab w:val="decimal" w:pos="612"/>
              </w:tabs>
              <w:spacing w:after="60" w:line="240" w:lineRule="auto"/>
              <w:rPr>
                <w:sz w:val="20"/>
                <w:szCs w:val="20"/>
              </w:rPr>
            </w:pPr>
            <w:r w:rsidRPr="00B440D4">
              <w:rPr>
                <w:sz w:val="20"/>
                <w:szCs w:val="20"/>
              </w:rPr>
              <w:t>-</w:t>
            </w:r>
          </w:p>
        </w:tc>
        <w:tc>
          <w:tcPr>
            <w:tcW w:w="1350" w:type="dxa"/>
          </w:tcPr>
          <w:p w14:paraId="7E57948B" w14:textId="77777777" w:rsidR="00D2643B" w:rsidRPr="00B440D4" w:rsidRDefault="00D2643B" w:rsidP="00B440D4">
            <w:pPr>
              <w:tabs>
                <w:tab w:val="decimal" w:pos="612"/>
              </w:tabs>
              <w:spacing w:after="60" w:line="240" w:lineRule="auto"/>
              <w:rPr>
                <w:sz w:val="20"/>
                <w:szCs w:val="20"/>
              </w:rPr>
            </w:pPr>
            <w:r w:rsidRPr="00B440D4">
              <w:rPr>
                <w:sz w:val="20"/>
                <w:szCs w:val="20"/>
              </w:rPr>
              <w:t>0.0</w:t>
            </w:r>
          </w:p>
        </w:tc>
        <w:tc>
          <w:tcPr>
            <w:tcW w:w="1350" w:type="dxa"/>
          </w:tcPr>
          <w:p w14:paraId="00EAA24B" w14:textId="77777777" w:rsidR="00D2643B" w:rsidRPr="00B440D4" w:rsidRDefault="007D1A7E" w:rsidP="00B440D4">
            <w:pPr>
              <w:tabs>
                <w:tab w:val="decimal" w:pos="612"/>
              </w:tabs>
              <w:spacing w:after="60" w:line="240" w:lineRule="auto"/>
              <w:rPr>
                <w:sz w:val="20"/>
                <w:szCs w:val="20"/>
              </w:rPr>
            </w:pPr>
            <w:r>
              <w:rPr>
                <w:sz w:val="20"/>
                <w:szCs w:val="20"/>
              </w:rPr>
              <w:t>66.7</w:t>
            </w:r>
          </w:p>
        </w:tc>
      </w:tr>
      <w:tr w:rsidR="00D2643B" w:rsidRPr="00B440D4" w14:paraId="3E2048C0" w14:textId="77777777" w:rsidTr="00B440D4">
        <w:tc>
          <w:tcPr>
            <w:tcW w:w="738" w:type="dxa"/>
          </w:tcPr>
          <w:p w14:paraId="50876A4B" w14:textId="77777777" w:rsidR="00D2643B" w:rsidRPr="00B440D4" w:rsidRDefault="00D2643B" w:rsidP="00B440D4">
            <w:pPr>
              <w:spacing w:after="60" w:line="240" w:lineRule="auto"/>
              <w:rPr>
                <w:sz w:val="20"/>
                <w:szCs w:val="20"/>
              </w:rPr>
            </w:pPr>
            <w:r w:rsidRPr="00B440D4">
              <w:rPr>
                <w:sz w:val="20"/>
                <w:szCs w:val="20"/>
              </w:rPr>
              <w:t xml:space="preserve"> </w:t>
            </w:r>
            <w:r w:rsidR="00537448">
              <w:rPr>
                <w:sz w:val="20"/>
                <w:szCs w:val="20"/>
              </w:rPr>
              <w:t xml:space="preserve">13 </w:t>
            </w:r>
            <w:r w:rsidRPr="00B440D4">
              <w:rPr>
                <w:sz w:val="20"/>
                <w:szCs w:val="20"/>
              </w:rPr>
              <w:t>(c)</w:t>
            </w:r>
          </w:p>
        </w:tc>
        <w:tc>
          <w:tcPr>
            <w:tcW w:w="3420" w:type="dxa"/>
          </w:tcPr>
          <w:p w14:paraId="76059E67" w14:textId="77777777" w:rsidR="00D2643B" w:rsidRPr="00B440D4" w:rsidRDefault="00D2643B" w:rsidP="00B440D4">
            <w:pPr>
              <w:spacing w:after="60" w:line="240" w:lineRule="auto"/>
              <w:rPr>
                <w:sz w:val="20"/>
                <w:szCs w:val="20"/>
              </w:rPr>
            </w:pPr>
            <w:r w:rsidRPr="00B440D4">
              <w:rPr>
                <w:sz w:val="20"/>
                <w:szCs w:val="20"/>
              </w:rPr>
              <w:t>Corridor method</w:t>
            </w:r>
          </w:p>
        </w:tc>
        <w:tc>
          <w:tcPr>
            <w:tcW w:w="1350" w:type="dxa"/>
          </w:tcPr>
          <w:p w14:paraId="509AC97B" w14:textId="77777777" w:rsidR="00D2643B" w:rsidRPr="00B440D4" w:rsidRDefault="00D2643B" w:rsidP="00B440D4">
            <w:pPr>
              <w:tabs>
                <w:tab w:val="decimal" w:pos="612"/>
              </w:tabs>
              <w:spacing w:after="60" w:line="240" w:lineRule="auto"/>
              <w:rPr>
                <w:sz w:val="20"/>
                <w:szCs w:val="20"/>
              </w:rPr>
            </w:pPr>
            <w:r w:rsidRPr="00B440D4">
              <w:rPr>
                <w:sz w:val="20"/>
                <w:szCs w:val="20"/>
              </w:rPr>
              <w:t>15.4</w:t>
            </w:r>
          </w:p>
        </w:tc>
        <w:tc>
          <w:tcPr>
            <w:tcW w:w="1350" w:type="dxa"/>
          </w:tcPr>
          <w:p w14:paraId="5D305B75" w14:textId="77777777" w:rsidR="00D2643B" w:rsidRPr="00B440D4" w:rsidRDefault="00D2643B" w:rsidP="00B440D4">
            <w:pPr>
              <w:tabs>
                <w:tab w:val="decimal" w:pos="612"/>
              </w:tabs>
              <w:spacing w:after="60" w:line="240" w:lineRule="auto"/>
              <w:rPr>
                <w:sz w:val="20"/>
                <w:szCs w:val="20"/>
              </w:rPr>
            </w:pPr>
            <w:r w:rsidRPr="00B440D4">
              <w:rPr>
                <w:sz w:val="20"/>
                <w:szCs w:val="20"/>
              </w:rPr>
              <w:t>0.0</w:t>
            </w:r>
          </w:p>
        </w:tc>
        <w:tc>
          <w:tcPr>
            <w:tcW w:w="1350" w:type="dxa"/>
          </w:tcPr>
          <w:p w14:paraId="2331874D" w14:textId="77777777" w:rsidR="00D2643B" w:rsidRPr="00B440D4" w:rsidRDefault="003C7B7E" w:rsidP="00B440D4">
            <w:pPr>
              <w:tabs>
                <w:tab w:val="decimal" w:pos="612"/>
              </w:tabs>
              <w:spacing w:after="60" w:line="240" w:lineRule="auto"/>
              <w:rPr>
                <w:sz w:val="20"/>
                <w:szCs w:val="20"/>
              </w:rPr>
            </w:pPr>
            <w:r>
              <w:rPr>
                <w:sz w:val="20"/>
                <w:szCs w:val="20"/>
              </w:rPr>
              <w:t>8</w:t>
            </w:r>
            <w:r w:rsidR="00537448">
              <w:rPr>
                <w:sz w:val="20"/>
                <w:szCs w:val="20"/>
              </w:rPr>
              <w:t>8.9</w:t>
            </w:r>
          </w:p>
        </w:tc>
      </w:tr>
      <w:tr w:rsidR="00D2643B" w:rsidRPr="00B440D4" w14:paraId="1D7F2610" w14:textId="77777777" w:rsidTr="00B440D4">
        <w:tc>
          <w:tcPr>
            <w:tcW w:w="738" w:type="dxa"/>
            <w:tcBorders>
              <w:bottom w:val="single" w:sz="4" w:space="0" w:color="auto"/>
            </w:tcBorders>
          </w:tcPr>
          <w:p w14:paraId="7793B4EE" w14:textId="77777777" w:rsidR="00D2643B" w:rsidRPr="00B440D4" w:rsidRDefault="00D2643B" w:rsidP="00B440D4">
            <w:pPr>
              <w:spacing w:after="60" w:line="240" w:lineRule="auto"/>
            </w:pPr>
            <w:r w:rsidRPr="00B440D4">
              <w:rPr>
                <w:sz w:val="20"/>
                <w:szCs w:val="20"/>
              </w:rPr>
              <w:t>14 (a)</w:t>
            </w:r>
          </w:p>
        </w:tc>
        <w:tc>
          <w:tcPr>
            <w:tcW w:w="3420" w:type="dxa"/>
            <w:tcBorders>
              <w:bottom w:val="single" w:sz="4" w:space="0" w:color="auto"/>
            </w:tcBorders>
          </w:tcPr>
          <w:p w14:paraId="7890FDBA" w14:textId="77777777" w:rsidR="00D2643B" w:rsidRPr="00B440D4" w:rsidRDefault="00D2643B" w:rsidP="00B440D4">
            <w:pPr>
              <w:spacing w:after="60" w:line="240" w:lineRule="auto"/>
              <w:rPr>
                <w:sz w:val="20"/>
                <w:szCs w:val="20"/>
              </w:rPr>
            </w:pPr>
            <w:r w:rsidRPr="00B440D4">
              <w:rPr>
                <w:sz w:val="20"/>
                <w:szCs w:val="20"/>
              </w:rPr>
              <w:t>Proportional consolidation of JVs</w:t>
            </w:r>
          </w:p>
        </w:tc>
        <w:tc>
          <w:tcPr>
            <w:tcW w:w="1350" w:type="dxa"/>
            <w:tcBorders>
              <w:bottom w:val="single" w:sz="4" w:space="0" w:color="auto"/>
            </w:tcBorders>
          </w:tcPr>
          <w:p w14:paraId="6D62BEBB" w14:textId="77777777" w:rsidR="00D2643B" w:rsidRPr="00B440D4" w:rsidRDefault="00D2643B" w:rsidP="00B440D4">
            <w:pPr>
              <w:tabs>
                <w:tab w:val="decimal" w:pos="612"/>
              </w:tabs>
              <w:spacing w:after="60" w:line="240" w:lineRule="auto"/>
              <w:rPr>
                <w:sz w:val="20"/>
                <w:szCs w:val="20"/>
              </w:rPr>
            </w:pPr>
            <w:r w:rsidRPr="00B440D4">
              <w:rPr>
                <w:sz w:val="20"/>
                <w:szCs w:val="20"/>
              </w:rPr>
              <w:t>77.7</w:t>
            </w:r>
          </w:p>
        </w:tc>
        <w:tc>
          <w:tcPr>
            <w:tcW w:w="1350" w:type="dxa"/>
            <w:tcBorders>
              <w:bottom w:val="single" w:sz="4" w:space="0" w:color="auto"/>
            </w:tcBorders>
          </w:tcPr>
          <w:p w14:paraId="003BF703" w14:textId="77777777" w:rsidR="00D2643B" w:rsidRPr="00B440D4" w:rsidRDefault="007D3E68" w:rsidP="00B440D4">
            <w:pPr>
              <w:tabs>
                <w:tab w:val="decimal" w:pos="612"/>
              </w:tabs>
              <w:spacing w:after="60" w:line="240" w:lineRule="auto"/>
              <w:rPr>
                <w:sz w:val="20"/>
                <w:szCs w:val="20"/>
              </w:rPr>
            </w:pPr>
            <w:r>
              <w:rPr>
                <w:sz w:val="20"/>
                <w:szCs w:val="20"/>
              </w:rPr>
              <w:t>44.4</w:t>
            </w:r>
          </w:p>
        </w:tc>
        <w:tc>
          <w:tcPr>
            <w:tcW w:w="1350" w:type="dxa"/>
            <w:tcBorders>
              <w:bottom w:val="single" w:sz="4" w:space="0" w:color="auto"/>
            </w:tcBorders>
          </w:tcPr>
          <w:p w14:paraId="177FD0EF" w14:textId="77777777" w:rsidR="00D2643B" w:rsidRPr="00B440D4" w:rsidRDefault="00537448" w:rsidP="00B440D4">
            <w:pPr>
              <w:tabs>
                <w:tab w:val="decimal" w:pos="612"/>
              </w:tabs>
              <w:spacing w:after="60" w:line="240" w:lineRule="auto"/>
              <w:rPr>
                <w:sz w:val="20"/>
                <w:szCs w:val="20"/>
              </w:rPr>
            </w:pPr>
            <w:r>
              <w:rPr>
                <w:sz w:val="20"/>
                <w:szCs w:val="20"/>
              </w:rPr>
              <w:t>37.5</w:t>
            </w:r>
          </w:p>
        </w:tc>
      </w:tr>
    </w:tbl>
    <w:p w14:paraId="31E3EF5D" w14:textId="77777777" w:rsidR="00D2643B" w:rsidRPr="00C949B4" w:rsidRDefault="00D2643B" w:rsidP="00C949B4">
      <w:pPr>
        <w:pStyle w:val="ListParagraph"/>
        <w:jc w:val="center"/>
        <w:rPr>
          <w:b/>
        </w:rPr>
      </w:pPr>
    </w:p>
    <w:p w14:paraId="10628DA4" w14:textId="77777777" w:rsidR="00D2643B" w:rsidRDefault="00D2643B" w:rsidP="00C949B4">
      <w:pPr>
        <w:rPr>
          <w:sz w:val="20"/>
          <w:szCs w:val="20"/>
        </w:rPr>
      </w:pPr>
      <w:r w:rsidRPr="00C949B4">
        <w:rPr>
          <w:sz w:val="20"/>
          <w:szCs w:val="20"/>
        </w:rPr>
        <w:t>*The percentages are calculated as in the note to Table 7.</w:t>
      </w:r>
      <w:r w:rsidR="004D5A69">
        <w:rPr>
          <w:sz w:val="20"/>
          <w:szCs w:val="20"/>
        </w:rPr>
        <w:t xml:space="preserve"> “-“ means no data.</w:t>
      </w:r>
    </w:p>
    <w:p w14:paraId="2FE091AA" w14:textId="77777777" w:rsidR="00D2643B" w:rsidRDefault="00D2643B">
      <w:pPr>
        <w:spacing w:after="0" w:line="240" w:lineRule="auto"/>
        <w:rPr>
          <w:sz w:val="20"/>
          <w:szCs w:val="20"/>
        </w:rPr>
      </w:pPr>
      <w:r>
        <w:rPr>
          <w:sz w:val="20"/>
          <w:szCs w:val="20"/>
        </w:rPr>
        <w:br w:type="page"/>
      </w:r>
    </w:p>
    <w:p w14:paraId="5540EC5D" w14:textId="77777777" w:rsidR="00D2643B" w:rsidRDefault="00D2643B" w:rsidP="001A2C7E">
      <w:pPr>
        <w:pStyle w:val="Title"/>
        <w:spacing w:line="240" w:lineRule="auto"/>
        <w:jc w:val="left"/>
        <w:rPr>
          <w:b w:val="0"/>
          <w:bCs w:val="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7874"/>
      </w:tblGrid>
      <w:tr w:rsidR="00D2643B" w14:paraId="1BA034FB" w14:textId="77777777" w:rsidTr="00D3346C">
        <w:trPr>
          <w:cantSplit/>
        </w:trPr>
        <w:tc>
          <w:tcPr>
            <w:tcW w:w="8522" w:type="dxa"/>
            <w:gridSpan w:val="2"/>
            <w:tcBorders>
              <w:top w:val="single" w:sz="4" w:space="0" w:color="auto"/>
              <w:bottom w:val="single" w:sz="4" w:space="0" w:color="auto"/>
            </w:tcBorders>
          </w:tcPr>
          <w:p w14:paraId="36B8A22C" w14:textId="77777777" w:rsidR="00D2643B" w:rsidRDefault="00D2643B" w:rsidP="00D3346C">
            <w:pPr>
              <w:pStyle w:val="Title"/>
              <w:spacing w:line="240" w:lineRule="auto"/>
            </w:pPr>
          </w:p>
          <w:p w14:paraId="64324B86" w14:textId="77777777" w:rsidR="00D2643B" w:rsidRDefault="00D2643B">
            <w:pPr>
              <w:pStyle w:val="Title"/>
              <w:spacing w:line="240" w:lineRule="auto"/>
              <w:jc w:val="left"/>
            </w:pPr>
            <w:r>
              <w:t>Table 9  Summary of main hypotheses</w:t>
            </w:r>
          </w:p>
          <w:p w14:paraId="78882FD7" w14:textId="77777777" w:rsidR="00D2643B" w:rsidRDefault="00D2643B" w:rsidP="00D3346C">
            <w:pPr>
              <w:pStyle w:val="Title"/>
              <w:spacing w:line="240" w:lineRule="auto"/>
            </w:pPr>
          </w:p>
        </w:tc>
      </w:tr>
      <w:tr w:rsidR="00D2643B" w14:paraId="71F02F6F" w14:textId="77777777" w:rsidTr="001A2C7E">
        <w:tc>
          <w:tcPr>
            <w:tcW w:w="648" w:type="dxa"/>
            <w:tcBorders>
              <w:top w:val="single" w:sz="4" w:space="0" w:color="auto"/>
            </w:tcBorders>
          </w:tcPr>
          <w:p w14:paraId="6C1D4DFC" w14:textId="77777777" w:rsidR="00D2643B" w:rsidRDefault="00D2643B" w:rsidP="00D3346C">
            <w:pPr>
              <w:pStyle w:val="Title"/>
              <w:spacing w:line="240" w:lineRule="auto"/>
              <w:jc w:val="left"/>
              <w:rPr>
                <w:b w:val="0"/>
                <w:bCs w:val="0"/>
              </w:rPr>
            </w:pPr>
            <w:r>
              <w:rPr>
                <w:b w:val="0"/>
                <w:bCs w:val="0"/>
              </w:rPr>
              <w:t>H</w:t>
            </w:r>
            <w:r>
              <w:rPr>
                <w:b w:val="0"/>
                <w:bCs w:val="0"/>
                <w:vertAlign w:val="subscript"/>
              </w:rPr>
              <w:t>1</w:t>
            </w:r>
            <w:r>
              <w:rPr>
                <w:b w:val="0"/>
                <w:bCs w:val="0"/>
              </w:rPr>
              <w:t>:</w:t>
            </w:r>
          </w:p>
        </w:tc>
        <w:tc>
          <w:tcPr>
            <w:tcW w:w="7874" w:type="dxa"/>
            <w:tcBorders>
              <w:top w:val="single" w:sz="4" w:space="0" w:color="auto"/>
            </w:tcBorders>
          </w:tcPr>
          <w:p w14:paraId="3B459D5B" w14:textId="77777777" w:rsidR="00D2643B" w:rsidRDefault="00D2643B" w:rsidP="00D3346C">
            <w:pPr>
              <w:pStyle w:val="Title"/>
              <w:spacing w:line="240" w:lineRule="auto"/>
              <w:jc w:val="left"/>
              <w:rPr>
                <w:b w:val="0"/>
                <w:bCs w:val="0"/>
              </w:rPr>
            </w:pPr>
            <w:r>
              <w:rPr>
                <w:b w:val="0"/>
                <w:bCs w:val="0"/>
              </w:rPr>
              <w:t>International differences in practice exist among IFRS companies due to differences in the version of IFRS being used.</w:t>
            </w:r>
          </w:p>
          <w:p w14:paraId="78B2799B" w14:textId="77777777" w:rsidR="00D2643B" w:rsidRDefault="00D2643B" w:rsidP="00D3346C">
            <w:pPr>
              <w:pStyle w:val="Title"/>
              <w:spacing w:line="240" w:lineRule="auto"/>
              <w:jc w:val="left"/>
              <w:rPr>
                <w:b w:val="0"/>
                <w:bCs w:val="0"/>
              </w:rPr>
            </w:pPr>
          </w:p>
        </w:tc>
      </w:tr>
      <w:tr w:rsidR="00D2643B" w14:paraId="30A70093" w14:textId="77777777" w:rsidTr="001A2C7E">
        <w:tc>
          <w:tcPr>
            <w:tcW w:w="648" w:type="dxa"/>
          </w:tcPr>
          <w:p w14:paraId="2658A68B" w14:textId="77777777" w:rsidR="00D2643B" w:rsidRDefault="00D2643B" w:rsidP="00D3346C">
            <w:pPr>
              <w:pStyle w:val="Title"/>
              <w:spacing w:line="240" w:lineRule="auto"/>
              <w:jc w:val="left"/>
              <w:rPr>
                <w:b w:val="0"/>
                <w:bCs w:val="0"/>
              </w:rPr>
            </w:pPr>
            <w:r>
              <w:rPr>
                <w:b w:val="0"/>
                <w:bCs w:val="0"/>
              </w:rPr>
              <w:t>H</w:t>
            </w:r>
            <w:r>
              <w:rPr>
                <w:b w:val="0"/>
                <w:bCs w:val="0"/>
                <w:vertAlign w:val="subscript"/>
              </w:rPr>
              <w:t>2</w:t>
            </w:r>
            <w:r>
              <w:rPr>
                <w:b w:val="0"/>
                <w:bCs w:val="0"/>
              </w:rPr>
              <w:t>:</w:t>
            </w:r>
          </w:p>
        </w:tc>
        <w:tc>
          <w:tcPr>
            <w:tcW w:w="7874" w:type="dxa"/>
          </w:tcPr>
          <w:p w14:paraId="31F9E7A8" w14:textId="77777777" w:rsidR="00D2643B" w:rsidRDefault="00D2643B" w:rsidP="00D3346C">
            <w:pPr>
              <w:pStyle w:val="Title"/>
              <w:spacing w:line="240" w:lineRule="auto"/>
              <w:jc w:val="left"/>
              <w:rPr>
                <w:b w:val="0"/>
                <w:bCs w:val="0"/>
              </w:rPr>
            </w:pPr>
            <w:r>
              <w:rPr>
                <w:b w:val="0"/>
                <w:bCs w:val="0"/>
              </w:rPr>
              <w:t>For some topics, different translations of IFRS lead to different practices.</w:t>
            </w:r>
          </w:p>
          <w:p w14:paraId="5B38E49B" w14:textId="77777777" w:rsidR="00D2643B" w:rsidRDefault="00D2643B" w:rsidP="00D3346C">
            <w:pPr>
              <w:pStyle w:val="Title"/>
              <w:spacing w:line="240" w:lineRule="auto"/>
              <w:jc w:val="left"/>
              <w:rPr>
                <w:b w:val="0"/>
                <w:bCs w:val="0"/>
              </w:rPr>
            </w:pPr>
          </w:p>
        </w:tc>
      </w:tr>
      <w:tr w:rsidR="00D2643B" w14:paraId="1C69FBB0" w14:textId="77777777" w:rsidTr="001A2C7E">
        <w:tc>
          <w:tcPr>
            <w:tcW w:w="648" w:type="dxa"/>
          </w:tcPr>
          <w:p w14:paraId="11CDE152" w14:textId="77777777" w:rsidR="00D2643B" w:rsidRDefault="00D2643B" w:rsidP="00D3346C">
            <w:pPr>
              <w:pStyle w:val="Title"/>
              <w:spacing w:line="240" w:lineRule="auto"/>
              <w:jc w:val="left"/>
              <w:rPr>
                <w:b w:val="0"/>
                <w:bCs w:val="0"/>
              </w:rPr>
            </w:pPr>
            <w:r>
              <w:rPr>
                <w:b w:val="0"/>
                <w:bCs w:val="0"/>
              </w:rPr>
              <w:t>H</w:t>
            </w:r>
            <w:r>
              <w:rPr>
                <w:b w:val="0"/>
                <w:bCs w:val="0"/>
                <w:vertAlign w:val="subscript"/>
              </w:rPr>
              <w:t>3</w:t>
            </w:r>
            <w:r>
              <w:rPr>
                <w:b w:val="0"/>
                <w:bCs w:val="0"/>
              </w:rPr>
              <w:t>:</w:t>
            </w:r>
          </w:p>
          <w:p w14:paraId="2249B911" w14:textId="77777777" w:rsidR="00D2643B" w:rsidRDefault="00D2643B" w:rsidP="00D3346C">
            <w:pPr>
              <w:pStyle w:val="Title"/>
              <w:spacing w:line="240" w:lineRule="auto"/>
              <w:jc w:val="left"/>
              <w:rPr>
                <w:b w:val="0"/>
                <w:bCs w:val="0"/>
              </w:rPr>
            </w:pPr>
          </w:p>
        </w:tc>
        <w:tc>
          <w:tcPr>
            <w:tcW w:w="7874" w:type="dxa"/>
          </w:tcPr>
          <w:p w14:paraId="014D9673" w14:textId="77777777" w:rsidR="00D2643B" w:rsidRDefault="00D2643B" w:rsidP="00D3346C">
            <w:pPr>
              <w:pStyle w:val="Title"/>
              <w:spacing w:line="240" w:lineRule="auto"/>
              <w:jc w:val="left"/>
              <w:rPr>
                <w:b w:val="0"/>
                <w:bCs w:val="0"/>
              </w:rPr>
            </w:pPr>
            <w:r>
              <w:rPr>
                <w:b w:val="0"/>
                <w:bCs w:val="0"/>
              </w:rPr>
              <w:t>For topics on which there are no specific rules in IFRS, German practice is different from UK practice.</w:t>
            </w:r>
          </w:p>
          <w:p w14:paraId="18916204" w14:textId="77777777" w:rsidR="00D2643B" w:rsidRDefault="00D2643B" w:rsidP="00D3346C">
            <w:pPr>
              <w:pStyle w:val="Title"/>
              <w:spacing w:line="240" w:lineRule="auto"/>
              <w:jc w:val="left"/>
              <w:rPr>
                <w:b w:val="0"/>
                <w:bCs w:val="0"/>
              </w:rPr>
            </w:pPr>
          </w:p>
        </w:tc>
      </w:tr>
      <w:tr w:rsidR="00D2643B" w14:paraId="79BEB956" w14:textId="77777777" w:rsidTr="001A2C7E">
        <w:tc>
          <w:tcPr>
            <w:tcW w:w="648" w:type="dxa"/>
          </w:tcPr>
          <w:p w14:paraId="28E951D0" w14:textId="77777777" w:rsidR="00D2643B" w:rsidRDefault="00D2643B" w:rsidP="00D3346C">
            <w:pPr>
              <w:pStyle w:val="Title"/>
              <w:spacing w:line="240" w:lineRule="auto"/>
              <w:jc w:val="left"/>
              <w:rPr>
                <w:b w:val="0"/>
                <w:bCs w:val="0"/>
              </w:rPr>
            </w:pPr>
            <w:r>
              <w:rPr>
                <w:b w:val="0"/>
                <w:bCs w:val="0"/>
              </w:rPr>
              <w:t>H</w:t>
            </w:r>
            <w:r>
              <w:rPr>
                <w:b w:val="0"/>
                <w:bCs w:val="0"/>
                <w:vertAlign w:val="subscript"/>
              </w:rPr>
              <w:t>4</w:t>
            </w:r>
            <w:r>
              <w:rPr>
                <w:b w:val="0"/>
                <w:bCs w:val="0"/>
              </w:rPr>
              <w:t>:</w:t>
            </w:r>
          </w:p>
          <w:p w14:paraId="19F4639B" w14:textId="77777777" w:rsidR="00D2643B" w:rsidRDefault="00D2643B" w:rsidP="00D3346C">
            <w:pPr>
              <w:pStyle w:val="Title"/>
              <w:spacing w:line="240" w:lineRule="auto"/>
              <w:jc w:val="left"/>
              <w:rPr>
                <w:b w:val="0"/>
                <w:bCs w:val="0"/>
              </w:rPr>
            </w:pPr>
          </w:p>
        </w:tc>
        <w:tc>
          <w:tcPr>
            <w:tcW w:w="7874" w:type="dxa"/>
          </w:tcPr>
          <w:p w14:paraId="4F9DF4A2" w14:textId="77777777" w:rsidR="00D2643B" w:rsidRDefault="00D2643B" w:rsidP="00D3346C">
            <w:pPr>
              <w:pStyle w:val="Title"/>
              <w:spacing w:line="240" w:lineRule="auto"/>
              <w:jc w:val="left"/>
              <w:rPr>
                <w:b w:val="0"/>
                <w:bCs w:val="0"/>
              </w:rPr>
            </w:pPr>
            <w:r>
              <w:rPr>
                <w:b w:val="0"/>
                <w:bCs w:val="0"/>
              </w:rPr>
              <w:t>The choice of IFRS options by UK and German groups is different.</w:t>
            </w:r>
          </w:p>
        </w:tc>
      </w:tr>
      <w:tr w:rsidR="00D2643B" w14:paraId="1F007DB3" w14:textId="77777777" w:rsidTr="001A2C7E">
        <w:tc>
          <w:tcPr>
            <w:tcW w:w="648" w:type="dxa"/>
          </w:tcPr>
          <w:p w14:paraId="24D90F88" w14:textId="77777777" w:rsidR="00D2643B" w:rsidRDefault="00D2643B" w:rsidP="00D3346C">
            <w:pPr>
              <w:pStyle w:val="Title"/>
              <w:spacing w:line="240" w:lineRule="auto"/>
              <w:jc w:val="left"/>
              <w:rPr>
                <w:b w:val="0"/>
                <w:bCs w:val="0"/>
              </w:rPr>
            </w:pPr>
            <w:r>
              <w:rPr>
                <w:b w:val="0"/>
                <w:bCs w:val="0"/>
              </w:rPr>
              <w:t>H</w:t>
            </w:r>
            <w:r>
              <w:rPr>
                <w:b w:val="0"/>
                <w:bCs w:val="0"/>
                <w:vertAlign w:val="subscript"/>
              </w:rPr>
              <w:t>5</w:t>
            </w:r>
            <w:r>
              <w:rPr>
                <w:b w:val="0"/>
                <w:bCs w:val="0"/>
              </w:rPr>
              <w:t>:</w:t>
            </w:r>
          </w:p>
        </w:tc>
        <w:tc>
          <w:tcPr>
            <w:tcW w:w="7874" w:type="dxa"/>
          </w:tcPr>
          <w:p w14:paraId="36358E7A" w14:textId="77777777" w:rsidR="00D2643B" w:rsidRDefault="00D2643B" w:rsidP="00D3346C">
            <w:pPr>
              <w:pStyle w:val="Title"/>
              <w:spacing w:line="240" w:lineRule="auto"/>
              <w:jc w:val="left"/>
              <w:rPr>
                <w:b w:val="0"/>
                <w:bCs w:val="0"/>
              </w:rPr>
            </w:pPr>
            <w:r>
              <w:rPr>
                <w:b w:val="0"/>
                <w:bCs w:val="0"/>
              </w:rPr>
              <w:t>Covert options in IFRS are exercised differently by UK groups than by German groups.</w:t>
            </w:r>
          </w:p>
          <w:p w14:paraId="3FA7AF65" w14:textId="77777777" w:rsidR="00D2643B" w:rsidRDefault="00D2643B" w:rsidP="00D3346C">
            <w:pPr>
              <w:pStyle w:val="Title"/>
              <w:spacing w:line="240" w:lineRule="auto"/>
              <w:jc w:val="left"/>
              <w:rPr>
                <w:b w:val="0"/>
                <w:bCs w:val="0"/>
              </w:rPr>
            </w:pPr>
          </w:p>
        </w:tc>
      </w:tr>
      <w:tr w:rsidR="00D2643B" w14:paraId="2FECEC38" w14:textId="77777777" w:rsidTr="001A2C7E">
        <w:tc>
          <w:tcPr>
            <w:tcW w:w="648" w:type="dxa"/>
          </w:tcPr>
          <w:p w14:paraId="70E304DB" w14:textId="77777777" w:rsidR="00D2643B" w:rsidRDefault="00D2643B" w:rsidP="00D3346C">
            <w:pPr>
              <w:pStyle w:val="Title"/>
              <w:spacing w:line="240" w:lineRule="auto"/>
              <w:jc w:val="left"/>
              <w:rPr>
                <w:b w:val="0"/>
                <w:bCs w:val="0"/>
              </w:rPr>
            </w:pPr>
            <w:r>
              <w:rPr>
                <w:b w:val="0"/>
                <w:bCs w:val="0"/>
              </w:rPr>
              <w:t>H</w:t>
            </w:r>
            <w:r>
              <w:rPr>
                <w:b w:val="0"/>
                <w:bCs w:val="0"/>
                <w:vertAlign w:val="subscript"/>
              </w:rPr>
              <w:t>6</w:t>
            </w:r>
            <w:r>
              <w:rPr>
                <w:b w:val="0"/>
                <w:bCs w:val="0"/>
              </w:rPr>
              <w:t>:</w:t>
            </w:r>
          </w:p>
          <w:p w14:paraId="503E34AD" w14:textId="77777777" w:rsidR="00D2643B" w:rsidRDefault="00D2643B" w:rsidP="00D3346C">
            <w:pPr>
              <w:pStyle w:val="Title"/>
              <w:spacing w:line="240" w:lineRule="auto"/>
              <w:jc w:val="left"/>
              <w:rPr>
                <w:b w:val="0"/>
                <w:bCs w:val="0"/>
              </w:rPr>
            </w:pPr>
          </w:p>
        </w:tc>
        <w:tc>
          <w:tcPr>
            <w:tcW w:w="7874" w:type="dxa"/>
          </w:tcPr>
          <w:p w14:paraId="7D77B912" w14:textId="77777777" w:rsidR="00D2643B" w:rsidRDefault="00D2643B" w:rsidP="00D3346C">
            <w:pPr>
              <w:pStyle w:val="Title"/>
              <w:spacing w:line="240" w:lineRule="auto"/>
              <w:jc w:val="left"/>
              <w:rPr>
                <w:b w:val="0"/>
                <w:bCs w:val="0"/>
              </w:rPr>
            </w:pPr>
            <w:r>
              <w:rPr>
                <w:b w:val="0"/>
                <w:bCs w:val="0"/>
              </w:rPr>
              <w:t>Estimations under IFRS are biased differently in German than in UK groups.</w:t>
            </w:r>
          </w:p>
          <w:p w14:paraId="7503DAC7" w14:textId="77777777" w:rsidR="00D2643B" w:rsidRDefault="00D2643B" w:rsidP="00D3346C">
            <w:pPr>
              <w:pStyle w:val="Title"/>
              <w:spacing w:line="240" w:lineRule="auto"/>
              <w:jc w:val="left"/>
              <w:rPr>
                <w:b w:val="0"/>
                <w:bCs w:val="0"/>
              </w:rPr>
            </w:pPr>
          </w:p>
        </w:tc>
      </w:tr>
      <w:tr w:rsidR="00D2643B" w14:paraId="74BFD007" w14:textId="77777777" w:rsidTr="001A2C7E">
        <w:tc>
          <w:tcPr>
            <w:tcW w:w="648" w:type="dxa"/>
          </w:tcPr>
          <w:p w14:paraId="2F2EF7C9" w14:textId="77777777" w:rsidR="00D2643B" w:rsidRDefault="00D2643B" w:rsidP="00D3346C">
            <w:pPr>
              <w:pStyle w:val="Title"/>
              <w:spacing w:line="240" w:lineRule="auto"/>
              <w:jc w:val="left"/>
              <w:rPr>
                <w:b w:val="0"/>
                <w:bCs w:val="0"/>
              </w:rPr>
            </w:pPr>
            <w:r>
              <w:rPr>
                <w:b w:val="0"/>
                <w:bCs w:val="0"/>
              </w:rPr>
              <w:t>H</w:t>
            </w:r>
            <w:r>
              <w:rPr>
                <w:b w:val="0"/>
                <w:bCs w:val="0"/>
                <w:vertAlign w:val="subscript"/>
              </w:rPr>
              <w:t>7</w:t>
            </w:r>
            <w:r>
              <w:rPr>
                <w:b w:val="0"/>
                <w:bCs w:val="0"/>
              </w:rPr>
              <w:t>:</w:t>
            </w:r>
          </w:p>
        </w:tc>
        <w:tc>
          <w:tcPr>
            <w:tcW w:w="7874" w:type="dxa"/>
          </w:tcPr>
          <w:p w14:paraId="37E4B2E3" w14:textId="77777777" w:rsidR="00D2643B" w:rsidRDefault="00D2643B" w:rsidP="00D3346C">
            <w:pPr>
              <w:pStyle w:val="Title"/>
              <w:spacing w:line="240" w:lineRule="auto"/>
              <w:jc w:val="left"/>
              <w:rPr>
                <w:b w:val="0"/>
                <w:bCs w:val="0"/>
              </w:rPr>
            </w:pPr>
            <w:r>
              <w:rPr>
                <w:b w:val="0"/>
                <w:bCs w:val="0"/>
              </w:rPr>
              <w:t>Pre-IFRS differences between national practices have a significant effect on IFRS financial statements.</w:t>
            </w:r>
          </w:p>
          <w:p w14:paraId="5BAF7246" w14:textId="77777777" w:rsidR="00D2643B" w:rsidRDefault="00D2643B" w:rsidP="00D3346C">
            <w:pPr>
              <w:pStyle w:val="Title"/>
              <w:tabs>
                <w:tab w:val="left" w:pos="720"/>
              </w:tabs>
              <w:spacing w:line="240" w:lineRule="auto"/>
              <w:ind w:left="1440" w:hanging="1440"/>
              <w:jc w:val="left"/>
              <w:rPr>
                <w:b w:val="0"/>
                <w:bCs w:val="0"/>
              </w:rPr>
            </w:pPr>
            <w:r>
              <w:rPr>
                <w:b w:val="0"/>
                <w:bCs w:val="0"/>
              </w:rPr>
              <w:tab/>
            </w:r>
            <w:r>
              <w:rPr>
                <w:b w:val="0"/>
                <w:bCs w:val="0"/>
              </w:rPr>
              <w:tab/>
            </w:r>
          </w:p>
        </w:tc>
      </w:tr>
      <w:tr w:rsidR="00D2643B" w14:paraId="4EFDA47E" w14:textId="77777777" w:rsidTr="001A2C7E">
        <w:tc>
          <w:tcPr>
            <w:tcW w:w="648" w:type="dxa"/>
            <w:tcBorders>
              <w:bottom w:val="single" w:sz="4" w:space="0" w:color="auto"/>
            </w:tcBorders>
          </w:tcPr>
          <w:p w14:paraId="7D9C8C42" w14:textId="77777777" w:rsidR="00D2643B" w:rsidRDefault="00D2643B" w:rsidP="00D3346C">
            <w:pPr>
              <w:pStyle w:val="Title"/>
              <w:spacing w:line="240" w:lineRule="auto"/>
              <w:jc w:val="left"/>
              <w:rPr>
                <w:b w:val="0"/>
                <w:bCs w:val="0"/>
              </w:rPr>
            </w:pPr>
            <w:r>
              <w:rPr>
                <w:b w:val="0"/>
                <w:bCs w:val="0"/>
              </w:rPr>
              <w:t>H</w:t>
            </w:r>
            <w:r>
              <w:rPr>
                <w:b w:val="0"/>
                <w:bCs w:val="0"/>
                <w:vertAlign w:val="subscript"/>
              </w:rPr>
              <w:t>8</w:t>
            </w:r>
            <w:r>
              <w:rPr>
                <w:b w:val="0"/>
                <w:bCs w:val="0"/>
              </w:rPr>
              <w:t>:</w:t>
            </w:r>
          </w:p>
          <w:p w14:paraId="79BDB995" w14:textId="77777777" w:rsidR="00D2643B" w:rsidRDefault="00D2643B" w:rsidP="00D3346C">
            <w:pPr>
              <w:pStyle w:val="Title"/>
              <w:spacing w:line="240" w:lineRule="auto"/>
              <w:jc w:val="left"/>
              <w:rPr>
                <w:b w:val="0"/>
                <w:bCs w:val="0"/>
              </w:rPr>
            </w:pPr>
          </w:p>
        </w:tc>
        <w:tc>
          <w:tcPr>
            <w:tcW w:w="7874" w:type="dxa"/>
            <w:tcBorders>
              <w:bottom w:val="single" w:sz="4" w:space="0" w:color="auto"/>
            </w:tcBorders>
          </w:tcPr>
          <w:p w14:paraId="7E8581D6" w14:textId="77777777" w:rsidR="00D2643B" w:rsidRDefault="00D2643B" w:rsidP="00D3346C">
            <w:pPr>
              <w:pStyle w:val="Title"/>
              <w:spacing w:line="240" w:lineRule="auto"/>
              <w:jc w:val="left"/>
              <w:rPr>
                <w:b w:val="0"/>
                <w:bCs w:val="0"/>
              </w:rPr>
            </w:pPr>
            <w:r>
              <w:rPr>
                <w:b w:val="0"/>
                <w:bCs w:val="0"/>
              </w:rPr>
              <w:t>Compliance with IFRS by German groups is lower than that by UK groups.</w:t>
            </w:r>
          </w:p>
          <w:p w14:paraId="62D2E08E" w14:textId="77777777" w:rsidR="00D2643B" w:rsidRDefault="00D2643B" w:rsidP="00D3346C">
            <w:pPr>
              <w:pStyle w:val="Title"/>
              <w:spacing w:line="240" w:lineRule="auto"/>
              <w:jc w:val="left"/>
              <w:rPr>
                <w:b w:val="0"/>
                <w:bCs w:val="0"/>
              </w:rPr>
            </w:pPr>
          </w:p>
        </w:tc>
      </w:tr>
    </w:tbl>
    <w:p w14:paraId="739C47BE" w14:textId="77777777" w:rsidR="00D2643B" w:rsidRDefault="00D2643B" w:rsidP="001A2C7E">
      <w:pPr>
        <w:pStyle w:val="Title"/>
        <w:jc w:val="left"/>
      </w:pPr>
    </w:p>
    <w:p w14:paraId="4D793949" w14:textId="77777777" w:rsidR="00D2643B" w:rsidRDefault="00D2643B">
      <w:pPr>
        <w:spacing w:after="0" w:line="240" w:lineRule="auto"/>
        <w:rPr>
          <w:sz w:val="20"/>
          <w:szCs w:val="20"/>
        </w:rPr>
      </w:pPr>
      <w:r>
        <w:rPr>
          <w:sz w:val="20"/>
          <w:szCs w:val="20"/>
        </w:rPr>
        <w:br w:type="page"/>
      </w:r>
    </w:p>
    <w:p w14:paraId="3E9789B3" w14:textId="77777777" w:rsidR="00D2643B" w:rsidRPr="00C949B4" w:rsidRDefault="00D2643B" w:rsidP="00C949B4">
      <w:pPr>
        <w:rPr>
          <w:sz w:val="20"/>
          <w:szCs w:val="20"/>
        </w:rPr>
        <w:sectPr w:rsidR="00D2643B" w:rsidRPr="00C949B4" w:rsidSect="00FF6ED6">
          <w:pgSz w:w="11906" w:h="16838"/>
          <w:pgMar w:top="1440" w:right="1800" w:bottom="1440" w:left="1440" w:header="706" w:footer="706" w:gutter="0"/>
          <w:cols w:space="708"/>
          <w:titlePg/>
          <w:docGrid w:linePitch="360"/>
        </w:sectPr>
      </w:pPr>
    </w:p>
    <w:p w14:paraId="568A6C3F" w14:textId="77777777" w:rsidR="00D2643B" w:rsidRPr="003F0909" w:rsidRDefault="00D2643B" w:rsidP="003F0909">
      <w:pPr>
        <w:jc w:val="center"/>
        <w:rPr>
          <w:b/>
        </w:rPr>
      </w:pPr>
      <w:r w:rsidRPr="00CD56B7">
        <w:rPr>
          <w:b/>
        </w:rPr>
        <w:lastRenderedPageBreak/>
        <w:t xml:space="preserve">Figure 1. </w:t>
      </w:r>
      <w:r>
        <w:rPr>
          <w:b/>
        </w:rPr>
        <w:t xml:space="preserve">   </w:t>
      </w:r>
      <w:r w:rsidRPr="00CD56B7">
        <w:rPr>
          <w:b/>
        </w:rPr>
        <w:t>A suggested classification of accounting ‘systems’ in some deve</w:t>
      </w:r>
      <w:r>
        <w:rPr>
          <w:b/>
        </w:rPr>
        <w:t>loped western countries in 1980</w:t>
      </w:r>
    </w:p>
    <w:p w14:paraId="17678D06" w14:textId="77777777" w:rsidR="00D2643B" w:rsidRDefault="00D2643B" w:rsidP="003F0909">
      <w:r w:rsidRPr="00F32B67">
        <w:rPr>
          <w:sz w:val="20"/>
        </w:rPr>
        <w:object w:dxaOrig="13126" w:dyaOrig="5895" w14:anchorId="1D6A1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4pt;height:294.6pt" o:ole="">
            <v:imagedata r:id="rId18" o:title=""/>
          </v:shape>
          <o:OLEObject Type="Embed" ProgID="MSDraw.Drawing.8.2" ShapeID="_x0000_i1025" DrawAspect="Content" ObjectID="_1591512402" r:id="rId19"/>
        </w:object>
      </w:r>
    </w:p>
    <w:p w14:paraId="7A99D460" w14:textId="77777777" w:rsidR="00D2643B" w:rsidRPr="000E4609" w:rsidRDefault="00D2643B" w:rsidP="003F0909">
      <w:pPr>
        <w:tabs>
          <w:tab w:val="left" w:pos="720"/>
        </w:tabs>
        <w:spacing w:after="0"/>
        <w:ind w:left="900" w:hanging="900"/>
        <w:rPr>
          <w:sz w:val="22"/>
          <w:szCs w:val="22"/>
        </w:rPr>
      </w:pPr>
      <w:r w:rsidRPr="000E4609">
        <w:rPr>
          <w:i/>
          <w:sz w:val="22"/>
          <w:szCs w:val="22"/>
        </w:rPr>
        <w:t>Notes:</w:t>
      </w:r>
      <w:r w:rsidRPr="000E4609">
        <w:rPr>
          <w:sz w:val="22"/>
          <w:szCs w:val="22"/>
        </w:rPr>
        <w:tab/>
      </w:r>
      <w:r w:rsidRPr="000E4609">
        <w:rPr>
          <w:sz w:val="22"/>
          <w:szCs w:val="22"/>
          <w:vertAlign w:val="superscript"/>
        </w:rPr>
        <w:t>1</w:t>
      </w:r>
      <w:r w:rsidRPr="000E4609">
        <w:rPr>
          <w:sz w:val="22"/>
          <w:szCs w:val="22"/>
        </w:rPr>
        <w:tab/>
        <w:t>This is an abbreviated term for corporate financial reporting.</w:t>
      </w:r>
    </w:p>
    <w:p w14:paraId="7A7565BA" w14:textId="77777777" w:rsidR="00D2643B" w:rsidRPr="000E4609" w:rsidRDefault="00D2643B" w:rsidP="003F0909">
      <w:pPr>
        <w:tabs>
          <w:tab w:val="left" w:pos="720"/>
        </w:tabs>
        <w:spacing w:after="0"/>
        <w:ind w:left="900" w:hanging="900"/>
        <w:rPr>
          <w:sz w:val="22"/>
          <w:szCs w:val="22"/>
        </w:rPr>
      </w:pPr>
      <w:r w:rsidRPr="000E4609">
        <w:rPr>
          <w:sz w:val="22"/>
          <w:szCs w:val="22"/>
        </w:rPr>
        <w:tab/>
      </w:r>
      <w:r w:rsidRPr="000E4609">
        <w:rPr>
          <w:sz w:val="22"/>
          <w:szCs w:val="22"/>
          <w:vertAlign w:val="superscript"/>
        </w:rPr>
        <w:t>2</w:t>
      </w:r>
      <w:r w:rsidRPr="000E4609">
        <w:rPr>
          <w:sz w:val="22"/>
          <w:szCs w:val="22"/>
        </w:rPr>
        <w:tab/>
        <w:t>These terms, borrowed from biology, should be interpreted merely as loose labels.</w:t>
      </w:r>
    </w:p>
    <w:p w14:paraId="04CC7E58" w14:textId="77777777" w:rsidR="00D2643B" w:rsidRDefault="00D2643B" w:rsidP="003F0909">
      <w:pPr>
        <w:tabs>
          <w:tab w:val="left" w:pos="720"/>
        </w:tabs>
        <w:spacing w:after="0"/>
        <w:ind w:left="900" w:hanging="900"/>
        <w:rPr>
          <w:sz w:val="22"/>
          <w:szCs w:val="22"/>
        </w:rPr>
      </w:pPr>
      <w:r w:rsidRPr="000E4609">
        <w:rPr>
          <w:sz w:val="22"/>
          <w:szCs w:val="22"/>
        </w:rPr>
        <w:tab/>
      </w:r>
      <w:r w:rsidRPr="000E4609">
        <w:rPr>
          <w:sz w:val="22"/>
          <w:szCs w:val="22"/>
          <w:vertAlign w:val="superscript"/>
        </w:rPr>
        <w:t>3</w:t>
      </w:r>
      <w:r w:rsidRPr="000E4609">
        <w:rPr>
          <w:sz w:val="22"/>
          <w:szCs w:val="22"/>
        </w:rPr>
        <w:tab/>
        <w:t>The terms at these and other branching points are merely labels to be used as shorthand to try to capture some of the attributes of the members of the accounting systems below them.  This classification has been prepared by a UK researcher and may contain usage of terms that will mislead those from other cultures.</w:t>
      </w:r>
    </w:p>
    <w:p w14:paraId="3417AD7E" w14:textId="77777777" w:rsidR="00D2643B" w:rsidRDefault="00D2643B" w:rsidP="003F0909">
      <w:pPr>
        <w:tabs>
          <w:tab w:val="left" w:pos="720"/>
        </w:tabs>
        <w:spacing w:after="0"/>
        <w:ind w:left="900" w:hanging="900"/>
        <w:rPr>
          <w:sz w:val="22"/>
          <w:szCs w:val="22"/>
        </w:rPr>
      </w:pPr>
    </w:p>
    <w:p w14:paraId="0B67851B" w14:textId="77777777" w:rsidR="00D2643B" w:rsidRPr="003F0909" w:rsidRDefault="00D2643B" w:rsidP="003F0909">
      <w:pPr>
        <w:tabs>
          <w:tab w:val="left" w:pos="720"/>
        </w:tabs>
        <w:spacing w:after="0"/>
        <w:ind w:left="900" w:hanging="900"/>
        <w:rPr>
          <w:sz w:val="22"/>
          <w:szCs w:val="22"/>
        </w:rPr>
      </w:pPr>
      <w:r>
        <w:rPr>
          <w:i/>
          <w:sz w:val="22"/>
          <w:szCs w:val="22"/>
        </w:rPr>
        <w:t>Source:</w:t>
      </w:r>
      <w:r>
        <w:rPr>
          <w:sz w:val="22"/>
          <w:szCs w:val="22"/>
        </w:rPr>
        <w:t xml:space="preserve"> </w:t>
      </w:r>
      <w:r>
        <w:rPr>
          <w:sz w:val="22"/>
          <w:szCs w:val="22"/>
        </w:rPr>
        <w:tab/>
        <w:t>Nobes (1983).</w:t>
      </w:r>
    </w:p>
    <w:sectPr w:rsidR="00D2643B" w:rsidRPr="003F0909" w:rsidSect="003F0909">
      <w:pgSz w:w="16838" w:h="11906" w:orient="landscape"/>
      <w:pgMar w:top="1440" w:right="1440" w:bottom="180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06EA5" w14:textId="77777777" w:rsidR="00BB0B73" w:rsidRDefault="00BB0B73">
      <w:pPr>
        <w:spacing w:after="0" w:line="240" w:lineRule="auto"/>
      </w:pPr>
      <w:r>
        <w:separator/>
      </w:r>
    </w:p>
  </w:endnote>
  <w:endnote w:type="continuationSeparator" w:id="0">
    <w:p w14:paraId="05B9956D" w14:textId="77777777" w:rsidR="00BB0B73" w:rsidRDefault="00BB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EDF35" w14:textId="77777777" w:rsidR="00BB0B73" w:rsidRDefault="00BB0B73">
      <w:pPr>
        <w:spacing w:after="0" w:line="240" w:lineRule="auto"/>
      </w:pPr>
      <w:r>
        <w:separator/>
      </w:r>
    </w:p>
  </w:footnote>
  <w:footnote w:type="continuationSeparator" w:id="0">
    <w:p w14:paraId="30027860" w14:textId="77777777" w:rsidR="00BB0B73" w:rsidRDefault="00BB0B73">
      <w:pPr>
        <w:spacing w:after="0" w:line="240" w:lineRule="auto"/>
      </w:pPr>
      <w:r>
        <w:continuationSeparator/>
      </w:r>
    </w:p>
  </w:footnote>
  <w:footnote w:id="1">
    <w:p w14:paraId="551E96F1" w14:textId="77777777" w:rsidR="0088499E" w:rsidRDefault="0088499E" w:rsidP="00762740">
      <w:pPr>
        <w:pStyle w:val="FootnoteText"/>
      </w:pPr>
      <w:r>
        <w:rPr>
          <w:rStyle w:val="FootnoteReference"/>
        </w:rPr>
        <w:footnoteRef/>
      </w:r>
      <w:r>
        <w:t xml:space="preserve"> </w:t>
      </w:r>
      <w:r>
        <w:rPr>
          <w:lang w:val="en-AU"/>
        </w:rPr>
        <w:t>For example, Google scholar records 123 citations (on 1 January 2013); and all the papers discussed in Section 5 use that paper as the starting point.</w:t>
      </w:r>
    </w:p>
  </w:footnote>
  <w:footnote w:id="2">
    <w:p w14:paraId="11917A30" w14:textId="77777777" w:rsidR="0088499E" w:rsidRDefault="0088499E">
      <w:pPr>
        <w:pStyle w:val="FootnoteText"/>
      </w:pPr>
      <w:r>
        <w:rPr>
          <w:rStyle w:val="FootnoteReference"/>
        </w:rPr>
        <w:footnoteRef/>
      </w:r>
      <w:r>
        <w:t xml:space="preserve"> See the papers referred to in Sections 5.2 to 5.6.</w:t>
      </w:r>
    </w:p>
  </w:footnote>
  <w:footnote w:id="3">
    <w:p w14:paraId="150946BA" w14:textId="77777777" w:rsidR="0088499E" w:rsidRDefault="0088499E">
      <w:pPr>
        <w:pStyle w:val="FootnoteText"/>
      </w:pPr>
      <w:r>
        <w:rPr>
          <w:rStyle w:val="FootnoteReference"/>
        </w:rPr>
        <w:footnoteRef/>
      </w:r>
      <w:r>
        <w:t xml:space="preserve"> These are easy to track and are generally announced by the IASB well in advance, whereas changes in national regulations are less easy to track. Sometimes announcements of IFRS adoption do not eventuate.</w:t>
      </w:r>
    </w:p>
  </w:footnote>
  <w:footnote w:id="4">
    <w:p w14:paraId="1FEB0565" w14:textId="77777777" w:rsidR="0088499E" w:rsidRDefault="0088499E">
      <w:pPr>
        <w:pStyle w:val="FootnoteText"/>
      </w:pPr>
      <w:r>
        <w:rPr>
          <w:rStyle w:val="FootnoteReference"/>
        </w:rPr>
        <w:footnoteRef/>
      </w:r>
      <w:r>
        <w:t xml:space="preserve"> That is, adoption after the publication of a standard but before its date of compulsory application.</w:t>
      </w:r>
    </w:p>
  </w:footnote>
  <w:footnote w:id="5">
    <w:p w14:paraId="163AB388" w14:textId="77777777" w:rsidR="0088499E" w:rsidRDefault="0088499E" w:rsidP="00A43386">
      <w:pPr>
        <w:pStyle w:val="FootnoteText"/>
      </w:pPr>
      <w:r>
        <w:rPr>
          <w:rStyle w:val="FootnoteReference"/>
        </w:rPr>
        <w:footnoteRef/>
      </w:r>
      <w:r>
        <w:t xml:space="preserve"> Except to the extent that it is compatible with Australian IFRS, which IFRSs 12 and 13 might be.</w:t>
      </w:r>
    </w:p>
  </w:footnote>
  <w:footnote w:id="6">
    <w:p w14:paraId="650638F4" w14:textId="77777777" w:rsidR="0088499E" w:rsidRDefault="0088499E">
      <w:pPr>
        <w:pStyle w:val="FootnoteText"/>
      </w:pPr>
      <w:r>
        <w:rPr>
          <w:rStyle w:val="FootnoteReference"/>
        </w:rPr>
        <w:footnoteRef/>
      </w:r>
      <w:r>
        <w:t xml:space="preserve"> Basically, those that are unlisted and do not hold assets in a fiduciary capacity (e.g. a bank).</w:t>
      </w:r>
    </w:p>
  </w:footnote>
  <w:footnote w:id="7">
    <w:p w14:paraId="3AC3CC98" w14:textId="77777777" w:rsidR="0088499E" w:rsidRDefault="0088499E">
      <w:pPr>
        <w:pStyle w:val="FootnoteText"/>
      </w:pPr>
      <w:r>
        <w:rPr>
          <w:rStyle w:val="FootnoteReference"/>
        </w:rPr>
        <w:footnoteRef/>
      </w:r>
      <w:r>
        <w:t xml:space="preserve"> A list of unendorsed standards like that for Australia in the previous paragraphs applied, for example, for 31 December 2011 or 30 June 2012 year ends.</w:t>
      </w:r>
    </w:p>
  </w:footnote>
  <w:footnote w:id="8">
    <w:p w14:paraId="048CC8E7" w14:textId="77777777" w:rsidR="0088499E" w:rsidRDefault="0088499E">
      <w:pPr>
        <w:pStyle w:val="FootnoteText"/>
      </w:pPr>
      <w:r>
        <w:rPr>
          <w:rStyle w:val="FootnoteReference"/>
        </w:rPr>
        <w:footnoteRef/>
      </w:r>
      <w:r>
        <w:t xml:space="preserve"> To take the two points at the start of the paragraph, compliance could have been achieved for 31 December 2011 year ends by (i) not taking advantage of EU-IFRS’s permission for more hedge accounting, and (ii) not early-adopting IFRSs 9 to 13, which had not been endorsed but also had not yet reached their “effective dates”.</w:t>
      </w:r>
    </w:p>
  </w:footnote>
  <w:footnote w:id="9">
    <w:p w14:paraId="2803E5B0" w14:textId="77777777" w:rsidR="0088499E" w:rsidRDefault="0088499E">
      <w:pPr>
        <w:pStyle w:val="FootnoteText"/>
      </w:pPr>
      <w:r>
        <w:rPr>
          <w:rStyle w:val="FootnoteReference"/>
        </w:rPr>
        <w:footnoteRef/>
      </w:r>
      <w:r>
        <w:t xml:space="preserve"> That is, few companies are taking the permission to do an extra type of hedge accounting that the EU version of IAS 39 allows (ICAEW, 2007), and companies are not early adopting unendorsed standards.</w:t>
      </w:r>
    </w:p>
  </w:footnote>
  <w:footnote w:id="10">
    <w:p w14:paraId="388F6B60" w14:textId="77777777" w:rsidR="0088499E" w:rsidRDefault="0088499E">
      <w:pPr>
        <w:pStyle w:val="FootnoteText"/>
      </w:pPr>
      <w:r>
        <w:rPr>
          <w:rStyle w:val="FootnoteReference"/>
        </w:rPr>
        <w:footnoteRef/>
      </w:r>
      <w:r>
        <w:t xml:space="preserve"> By market capitalisation on 31.1.2012, as found in the monthly statistics of the World Federation of Stock Exchanges.</w:t>
      </w:r>
    </w:p>
  </w:footnote>
  <w:footnote w:id="11">
    <w:p w14:paraId="711724ED" w14:textId="77777777" w:rsidR="0088499E" w:rsidRDefault="0088499E">
      <w:pPr>
        <w:pStyle w:val="FootnoteText"/>
      </w:pPr>
      <w:r>
        <w:rPr>
          <w:rStyle w:val="FootnoteReference"/>
        </w:rPr>
        <w:footnoteRef/>
      </w:r>
      <w:r>
        <w:t xml:space="preserve"> That is, for 31 December 2011 year ends or nearest after.</w:t>
      </w:r>
    </w:p>
  </w:footnote>
  <w:footnote w:id="12">
    <w:p w14:paraId="1FF09D3F" w14:textId="77777777" w:rsidR="0088499E" w:rsidRDefault="0088499E">
      <w:pPr>
        <w:pStyle w:val="FootnoteText"/>
      </w:pPr>
      <w:r>
        <w:rPr>
          <w:rStyle w:val="FootnoteReference"/>
        </w:rPr>
        <w:footnoteRef/>
      </w:r>
      <w:r>
        <w:t xml:space="preserve"> Francis </w:t>
      </w:r>
      <w:r w:rsidRPr="002B1DBF">
        <w:rPr>
          <w:i/>
        </w:rPr>
        <w:t>et  al.</w:t>
      </w:r>
      <w:r>
        <w:t xml:space="preserve"> (2008) sometimes refer to ‘use’ of IFRS (e.g. p.334 and in the description of the variable on p.342) but otherwise they almost exclusively refer to ‘adoption’ (e.g. in the title, the abstract and the conclusions).</w:t>
      </w:r>
    </w:p>
  </w:footnote>
  <w:footnote w:id="13">
    <w:p w14:paraId="6CCD4B2E" w14:textId="77777777" w:rsidR="0088499E" w:rsidRDefault="0088499E">
      <w:pPr>
        <w:pStyle w:val="FootnoteText"/>
      </w:pPr>
      <w:r>
        <w:rPr>
          <w:rStyle w:val="FootnoteReference"/>
        </w:rPr>
        <w:footnoteRef/>
      </w:r>
      <w:r>
        <w:t xml:space="preserve"> The Bilanzrechtsmodernisierungsgesetz of 2009 made various adjustments compatible with IFRS (Gee </w:t>
      </w:r>
      <w:r w:rsidRPr="00812566">
        <w:rPr>
          <w:i/>
        </w:rPr>
        <w:t>et al.</w:t>
      </w:r>
      <w:r>
        <w:t>, 2010).</w:t>
      </w:r>
    </w:p>
  </w:footnote>
  <w:footnote w:id="14">
    <w:p w14:paraId="1ACA26FD" w14:textId="77777777" w:rsidR="0088499E" w:rsidRDefault="0088499E">
      <w:pPr>
        <w:pStyle w:val="FootnoteText"/>
      </w:pPr>
      <w:r>
        <w:rPr>
          <w:rStyle w:val="FootnoteReference"/>
        </w:rPr>
        <w:footnoteRef/>
      </w:r>
      <w:r>
        <w:t xml:space="preserve"> FRSs 12, 20 to 26 and 29 are copies of IASB standards.</w:t>
      </w:r>
    </w:p>
  </w:footnote>
  <w:footnote w:id="15">
    <w:p w14:paraId="58467460" w14:textId="77777777" w:rsidR="0088499E" w:rsidRDefault="0088499E">
      <w:pPr>
        <w:pStyle w:val="FootnoteText"/>
      </w:pPr>
      <w:r>
        <w:rPr>
          <w:rStyle w:val="FootnoteReference"/>
        </w:rPr>
        <w:footnoteRef/>
      </w:r>
      <w:r>
        <w:t xml:space="preserve"> Very similar points are made, </w:t>
      </w:r>
      <w:r w:rsidRPr="00805B64">
        <w:rPr>
          <w:i/>
        </w:rPr>
        <w:t>mutatis mutandis</w:t>
      </w:r>
      <w:r>
        <w:t>, in other EU countries. For example, UK auditors refer to “International Standards on Auditing (UK and Ireland)”, to EU-IFRS and to the requirements of the British Companies Act.</w:t>
      </w:r>
    </w:p>
  </w:footnote>
  <w:footnote w:id="16">
    <w:p w14:paraId="21EB771F" w14:textId="77777777" w:rsidR="0088499E" w:rsidRDefault="0088499E" w:rsidP="00E84964">
      <w:pPr>
        <w:pStyle w:val="FootnoteText"/>
      </w:pPr>
      <w:r>
        <w:rPr>
          <w:rStyle w:val="FootnoteReference"/>
        </w:rPr>
        <w:footnoteRef/>
      </w:r>
      <w:r>
        <w:t xml:space="preserve"> These words are taken from the English language version of the audit report by PricewaterhouseCoopers AG (a German company) on the annual report for 2011 of Bayer AG (a German company), pages 268-9.</w:t>
      </w:r>
    </w:p>
    <w:p w14:paraId="6145977B" w14:textId="77777777" w:rsidR="0088499E" w:rsidRDefault="0088499E" w:rsidP="00E84964">
      <w:pPr>
        <w:pStyle w:val="FootnoteText"/>
      </w:pPr>
    </w:p>
  </w:footnote>
  <w:footnote w:id="17">
    <w:p w14:paraId="45D144DE" w14:textId="77777777" w:rsidR="0088499E" w:rsidRDefault="0088499E">
      <w:pPr>
        <w:pStyle w:val="FootnoteText"/>
      </w:pPr>
      <w:r>
        <w:rPr>
          <w:rStyle w:val="FootnoteReference"/>
        </w:rPr>
        <w:footnoteRef/>
      </w:r>
      <w:r>
        <w:t xml:space="preserve"> In the original German, the audit report uses the same words as the German translation of IAS 1. See further discussion below.</w:t>
      </w:r>
    </w:p>
  </w:footnote>
  <w:footnote w:id="18">
    <w:p w14:paraId="084BC3CE" w14:textId="77777777" w:rsidR="0088499E" w:rsidRDefault="0088499E">
      <w:pPr>
        <w:pStyle w:val="FootnoteText"/>
      </w:pPr>
      <w:r>
        <w:rPr>
          <w:rStyle w:val="FootnoteReference"/>
        </w:rPr>
        <w:footnoteRef/>
      </w:r>
      <w:r>
        <w:t xml:space="preserve"> The Fourth Directive and the law have ‘ein den tatsächlichen Verhältnissen entsprechendes Bild’. IAS 1 has ‘eine den tatsächlichen Verhältnissen entsprechende Darstellung’.</w:t>
      </w:r>
    </w:p>
  </w:footnote>
  <w:footnote w:id="19">
    <w:p w14:paraId="5DA3706E" w14:textId="77777777" w:rsidR="0088499E" w:rsidRDefault="0088499E">
      <w:pPr>
        <w:pStyle w:val="FootnoteText"/>
      </w:pPr>
      <w:r>
        <w:rPr>
          <w:rStyle w:val="FootnoteReference"/>
        </w:rPr>
        <w:footnoteRef/>
      </w:r>
      <w:r>
        <w:t xml:space="preserve"> This term means here the location of a company’s registration, head office and lead auditor.</w:t>
      </w:r>
    </w:p>
  </w:footnote>
  <w:footnote w:id="20">
    <w:p w14:paraId="621D0772" w14:textId="77777777" w:rsidR="0088499E" w:rsidRDefault="0088499E">
      <w:pPr>
        <w:pStyle w:val="FootnoteText"/>
      </w:pPr>
      <w:r>
        <w:rPr>
          <w:rStyle w:val="FootnoteReference"/>
        </w:rPr>
        <w:footnoteRef/>
      </w:r>
      <w:r>
        <w:t xml:space="preserve"> For example, much goodwill of UK companies is held a zero under IFRS because it was generally held at zero under UK GAAP if purchased before FRS 10 came into force in 1998. With analogous facts, a French company would generally show goodwill under IFRS at the amount of amortised cost on 1 January 2004. This difference will last for ever unless the French company’s goodwill becomes impaired.</w:t>
      </w:r>
    </w:p>
  </w:footnote>
  <w:footnote w:id="21">
    <w:p w14:paraId="0EB3984D" w14:textId="77777777" w:rsidR="0088499E" w:rsidRDefault="0088499E">
      <w:pPr>
        <w:pStyle w:val="FootnoteText"/>
      </w:pPr>
      <w:r>
        <w:rPr>
          <w:rStyle w:val="FootnoteReference"/>
        </w:rPr>
        <w:footnoteRef/>
      </w:r>
      <w:r>
        <w:t xml:space="preserve"> The first item of Table 2 is not expressed as a choice between two possibilities, but companies have to choose a format for the specified lists of items which are required, by IAS 1, to be presented. A similar point relates to the IAS 19 topic.</w:t>
      </w:r>
    </w:p>
  </w:footnote>
  <w:footnote w:id="22">
    <w:p w14:paraId="1AE68D6E" w14:textId="77777777" w:rsidR="0088499E" w:rsidRDefault="0088499E">
      <w:pPr>
        <w:pStyle w:val="FootnoteText"/>
      </w:pPr>
      <w:r>
        <w:rPr>
          <w:rStyle w:val="FootnoteReference"/>
        </w:rPr>
        <w:footnoteRef/>
      </w:r>
      <w:r>
        <w:t xml:space="preserve"> For example, in terms of Table 2, US GAAP does not have the first IAS 1 option, the last of IAS 7, or those of IAS 16, IAS 38, IAS 40 or IFRS 3.</w:t>
      </w:r>
    </w:p>
  </w:footnote>
  <w:footnote w:id="23">
    <w:p w14:paraId="19CC6511" w14:textId="77777777" w:rsidR="0088499E" w:rsidRDefault="0088499E">
      <w:pPr>
        <w:pStyle w:val="FootnoteText"/>
      </w:pPr>
      <w:r>
        <w:rPr>
          <w:rStyle w:val="FootnoteReference"/>
        </w:rPr>
        <w:footnoteRef/>
      </w:r>
      <w:r>
        <w:t xml:space="preserve"> For example, because of disagreements with the Financial Accounting Standards Board of the USA on joint standards.</w:t>
      </w:r>
    </w:p>
  </w:footnote>
  <w:footnote w:id="24">
    <w:p w14:paraId="514E082E" w14:textId="77777777" w:rsidR="0088499E" w:rsidRDefault="0088499E">
      <w:pPr>
        <w:pStyle w:val="FootnoteText"/>
      </w:pPr>
      <w:r>
        <w:rPr>
          <w:rStyle w:val="FootnoteReference"/>
        </w:rPr>
        <w:footnoteRef/>
      </w:r>
      <w:r>
        <w:t xml:space="preserve"> For example, Kvaal and Nobes (2010) included two such items: (i) whether a line item for ‘operating profit’ is included in the income statement, and (ii) how dividends paid are treated in a cash flow statement.  Issue (i) overlaps somewhat with items 3 and 4 of Table 4, and it requires assessing whether descriptions other than ‘operating profit’ count.  Also, this is not a specifically stated policy choice in IAS 1.  For issue (ii), dividends received are generally not visible in cash flow statements, so assumptions have to be made.</w:t>
      </w:r>
    </w:p>
  </w:footnote>
  <w:footnote w:id="25">
    <w:p w14:paraId="399C9FBB" w14:textId="77777777" w:rsidR="0088499E" w:rsidRDefault="0088499E">
      <w:pPr>
        <w:pStyle w:val="FootnoteText"/>
      </w:pPr>
      <w:r>
        <w:rPr>
          <w:rStyle w:val="FootnoteReference"/>
        </w:rPr>
        <w:footnoteRef/>
      </w:r>
      <w:r>
        <w:t xml:space="preserve"> Except for software costs.</w:t>
      </w:r>
    </w:p>
  </w:footnote>
  <w:footnote w:id="26">
    <w:p w14:paraId="48A8ACAA" w14:textId="77777777" w:rsidR="0088499E" w:rsidRDefault="0088499E">
      <w:pPr>
        <w:pStyle w:val="FootnoteText"/>
      </w:pPr>
      <w:r>
        <w:rPr>
          <w:rStyle w:val="FootnoteReference"/>
        </w:rPr>
        <w:footnoteRef/>
      </w:r>
      <w:r>
        <w:t xml:space="preserve"> The first IAS 1 point in Table 5, and  those relating to IASs 17, 38, 40, 41 and IFRS 10 where US GAAP does not allow fair value or has clearer ‘rules’.</w:t>
      </w:r>
    </w:p>
  </w:footnote>
  <w:footnote w:id="27">
    <w:p w14:paraId="09F4C689" w14:textId="77777777" w:rsidR="0088499E" w:rsidRDefault="0088499E" w:rsidP="006B5D34">
      <w:pPr>
        <w:pStyle w:val="FootnoteText"/>
      </w:pPr>
      <w:r>
        <w:rPr>
          <w:rStyle w:val="FootnoteReference"/>
        </w:rPr>
        <w:footnoteRef/>
      </w:r>
      <w:r>
        <w:t xml:space="preserve"> For example,  IAS 16 (paras. 60 and 62) and IAS 8 (para. 32 (d)). It could be argued that this topic should be seen as an estimation rather than as a covert option. However, since the estimation determines a method, not just a number, I include it as a covert option.</w:t>
      </w:r>
    </w:p>
  </w:footnote>
  <w:footnote w:id="28">
    <w:p w14:paraId="0E7121E8" w14:textId="77777777" w:rsidR="0088499E" w:rsidRDefault="0088499E">
      <w:pPr>
        <w:pStyle w:val="FootnoteText"/>
      </w:pPr>
      <w:r>
        <w:rPr>
          <w:rStyle w:val="FootnoteReference"/>
        </w:rPr>
        <w:footnoteRef/>
      </w:r>
      <w:r>
        <w:t xml:space="preserve"> </w:t>
      </w:r>
      <w:r>
        <w:rPr>
          <w:lang w:val="en-AU"/>
        </w:rPr>
        <w:t>Those registered abroad or with the prime head office abroad.</w:t>
      </w:r>
    </w:p>
  </w:footnote>
  <w:footnote w:id="29">
    <w:p w14:paraId="252E743C" w14:textId="77777777" w:rsidR="0088499E" w:rsidRDefault="0088499E">
      <w:pPr>
        <w:pStyle w:val="FootnoteText"/>
      </w:pPr>
      <w:r>
        <w:rPr>
          <w:rStyle w:val="FootnoteReference"/>
        </w:rPr>
        <w:footnoteRef/>
      </w:r>
      <w:r>
        <w:t xml:space="preserve"> The 14 topics of Table 4, plus the two referred to in footnote 24.</w:t>
      </w:r>
    </w:p>
  </w:footnote>
  <w:footnote w:id="30">
    <w:p w14:paraId="022DE90F" w14:textId="77777777" w:rsidR="0088499E" w:rsidRDefault="0088499E">
      <w:pPr>
        <w:pStyle w:val="FootnoteText"/>
      </w:pPr>
      <w:r>
        <w:rPr>
          <w:rStyle w:val="FootnoteReference"/>
        </w:rPr>
        <w:footnoteRef/>
      </w:r>
      <w:r>
        <w:t xml:space="preserve"> Table 6 relates to 2008/9 data, as used in Nobes (2011) discussed below.  A few companies had ceased to report since 2005/6, e.g. because of mergers.</w:t>
      </w:r>
    </w:p>
  </w:footnote>
  <w:footnote w:id="31">
    <w:p w14:paraId="36528DF6" w14:textId="77777777" w:rsidR="0088499E" w:rsidRDefault="0088499E">
      <w:pPr>
        <w:pStyle w:val="FootnoteText"/>
      </w:pPr>
      <w:r>
        <w:rPr>
          <w:rStyle w:val="FootnoteReference"/>
        </w:rPr>
        <w:footnoteRef/>
      </w:r>
      <w:r>
        <w:t xml:space="preserve"> IAS 8 (paras. 14, 19, 29) allows policy change but only under certain conditions and if accompanied by disclosures.</w:t>
      </w:r>
    </w:p>
  </w:footnote>
  <w:footnote w:id="32">
    <w:p w14:paraId="181CE1FA" w14:textId="77777777" w:rsidR="0088499E" w:rsidRDefault="0088499E">
      <w:pPr>
        <w:pStyle w:val="FootnoteText"/>
      </w:pPr>
      <w:r>
        <w:rPr>
          <w:rStyle w:val="FootnoteReference"/>
        </w:rPr>
        <w:footnoteRef/>
      </w:r>
      <w:r>
        <w:t xml:space="preserve"> The amended </w:t>
      </w:r>
      <w:r>
        <w:rPr>
          <w:i/>
        </w:rPr>
        <w:t>Handelsgesetzbuch</w:t>
      </w:r>
      <w:r>
        <w:t xml:space="preserve"> which came into force in 1987 as a result of the </w:t>
      </w:r>
      <w:r>
        <w:rPr>
          <w:i/>
        </w:rPr>
        <w:t>Bilanzrichtliniengesetz</w:t>
      </w:r>
      <w:r>
        <w:t xml:space="preserve"> of 1985 introduced the option of the by-function format, as part of EU harmonisation.</w:t>
      </w:r>
    </w:p>
  </w:footnote>
  <w:footnote w:id="33">
    <w:p w14:paraId="2715E281" w14:textId="77777777" w:rsidR="0088499E" w:rsidRDefault="0088499E">
      <w:pPr>
        <w:pStyle w:val="FootnoteText"/>
      </w:pPr>
      <w:r>
        <w:rPr>
          <w:rStyle w:val="FootnoteReference"/>
        </w:rPr>
        <w:footnoteRef/>
      </w:r>
      <w:r>
        <w:t xml:space="preserve"> Nobes and Perramon (2013) include the 14 topics of Table 4, plus the topic of whether a company displays a line for operating profit or EBIT.</w:t>
      </w:r>
    </w:p>
  </w:footnote>
  <w:footnote w:id="34">
    <w:p w14:paraId="0D9F2890" w14:textId="57957B84" w:rsidR="0088499E" w:rsidRDefault="0088499E">
      <w:pPr>
        <w:pStyle w:val="FootnoteText"/>
      </w:pPr>
      <w:r>
        <w:rPr>
          <w:rStyle w:val="FootnoteReference"/>
        </w:rPr>
        <w:footnoteRef/>
      </w:r>
      <w:r>
        <w:t xml:space="preserve"> The first four classifiers used informal data. The last three used surveys by </w:t>
      </w:r>
      <w:r w:rsidRPr="00854A3E">
        <w:t>Price Waterhouse</w:t>
      </w:r>
      <w:r>
        <w:t xml:space="preserve"> </w:t>
      </w:r>
      <w:r w:rsidRPr="00854A3E">
        <w:t>(1973 and 1976).</w:t>
      </w:r>
      <w:r>
        <w:t xml:space="preserve"> These had begun as a list of detailed differences between US and UK accounting. So, they were good at picking up Anglo-American differences but not others.</w:t>
      </w:r>
    </w:p>
  </w:footnote>
  <w:footnote w:id="35">
    <w:p w14:paraId="2DE3CA8B" w14:textId="77777777" w:rsidR="0088499E" w:rsidRDefault="0088499E">
      <w:pPr>
        <w:pStyle w:val="FootnoteText"/>
      </w:pPr>
      <w:r>
        <w:rPr>
          <w:rStyle w:val="FootnoteReference"/>
        </w:rPr>
        <w:footnoteRef/>
      </w:r>
      <w:r>
        <w:t xml:space="preserve"> The measures in Nobes (1983) were not based directly on a formal sample of company practices but on rules and on general observations of practices in the countries concerned.</w:t>
      </w:r>
    </w:p>
  </w:footnote>
  <w:footnote w:id="36">
    <w:p w14:paraId="16DE131C" w14:textId="77777777" w:rsidR="0088499E" w:rsidRDefault="0088499E">
      <w:pPr>
        <w:pStyle w:val="FootnoteText"/>
      </w:pPr>
      <w:r>
        <w:rPr>
          <w:rStyle w:val="FootnoteReference"/>
        </w:rPr>
        <w:footnoteRef/>
      </w:r>
      <w:r>
        <w:t xml:space="preserve"> Belgium, Ireland and New Zealand have much smaller stock markets than the eight other countries, and are excluded.</w:t>
      </w:r>
    </w:p>
  </w:footnote>
  <w:footnote w:id="37">
    <w:p w14:paraId="608FE021" w14:textId="77777777" w:rsidR="0088499E" w:rsidRDefault="0088499E">
      <w:pPr>
        <w:pStyle w:val="FootnoteText"/>
      </w:pPr>
      <w:r>
        <w:rPr>
          <w:rStyle w:val="FootnoteReference"/>
        </w:rPr>
        <w:footnoteRef/>
      </w:r>
      <w:r>
        <w:t xml:space="preserve"> These are the two topics of footnote 17, and topic 2 of Tables 4 and 7.</w:t>
      </w:r>
    </w:p>
  </w:footnote>
  <w:footnote w:id="38">
    <w:p w14:paraId="0A962C5B" w14:textId="77777777" w:rsidR="0088499E" w:rsidRDefault="0088499E">
      <w:pPr>
        <w:pStyle w:val="FootnoteText"/>
      </w:pPr>
      <w:r>
        <w:rPr>
          <w:rStyle w:val="FootnoteReference"/>
        </w:rPr>
        <w:footnoteRef/>
      </w:r>
      <w:r>
        <w:t xml:space="preserve"> </w:t>
      </w:r>
      <w:r>
        <w:rPr>
          <w:lang w:val="en-AU"/>
        </w:rPr>
        <w:t>There were 3 rate-regulated companies, 4 non-bank companies with non-December year-ends, and 8 companies using US GAAP.</w:t>
      </w:r>
    </w:p>
  </w:footnote>
  <w:footnote w:id="39">
    <w:p w14:paraId="3E3054C8" w14:textId="77777777" w:rsidR="0088499E" w:rsidRDefault="0088499E">
      <w:pPr>
        <w:pStyle w:val="FootnoteText"/>
      </w:pPr>
      <w:r>
        <w:rPr>
          <w:rStyle w:val="FootnoteReference"/>
        </w:rPr>
        <w:footnoteRef/>
      </w:r>
      <w:r>
        <w:t xml:space="preserve"> </w:t>
      </w:r>
      <w:r>
        <w:rPr>
          <w:lang w:val="en-AU"/>
        </w:rPr>
        <w:t>One of the ‘basic’ companies was in agriculture.</w:t>
      </w:r>
    </w:p>
  </w:footnote>
  <w:footnote w:id="40">
    <w:p w14:paraId="5F315F8F" w14:textId="77777777" w:rsidR="0088499E" w:rsidRDefault="0088499E">
      <w:pPr>
        <w:pStyle w:val="FootnoteText"/>
      </w:pPr>
      <w:r>
        <w:rPr>
          <w:rStyle w:val="FootnoteReference"/>
        </w:rPr>
        <w:footnoteRef/>
      </w:r>
      <w:r>
        <w:t xml:space="preserve"> For the two issues, these can be found, respectively, in the CICA Handbook: HB 1521and 3055.</w:t>
      </w:r>
    </w:p>
  </w:footnote>
  <w:footnote w:id="41">
    <w:p w14:paraId="042BE82A" w14:textId="77777777" w:rsidR="0088499E" w:rsidRDefault="0088499E">
      <w:pPr>
        <w:pStyle w:val="FootnoteText"/>
      </w:pPr>
      <w:r>
        <w:rPr>
          <w:rStyle w:val="FootnoteReference"/>
        </w:rPr>
        <w:footnoteRef/>
      </w:r>
      <w:r>
        <w:t xml:space="preserve"> IFRS 11 was issued in May 2011.</w:t>
      </w:r>
    </w:p>
  </w:footnote>
  <w:footnote w:id="42">
    <w:p w14:paraId="2376465C" w14:textId="77777777" w:rsidR="0088499E" w:rsidRDefault="0088499E">
      <w:pPr>
        <w:pStyle w:val="FootnoteText"/>
      </w:pPr>
      <w:r>
        <w:rPr>
          <w:rStyle w:val="FootnoteReference"/>
        </w:rPr>
        <w:footnoteRef/>
      </w:r>
      <w:r>
        <w:t xml:space="preserve"> For this purpose, sectors 0 and 1 have been combined. Sector 1 contains certain chemical companies which researchers might prefer to add to ‘Industrials’. However, for Canada, this was only one company.</w:t>
      </w:r>
    </w:p>
  </w:footnote>
  <w:footnote w:id="43">
    <w:p w14:paraId="0B760C9E" w14:textId="77777777" w:rsidR="0088499E" w:rsidRDefault="0088499E">
      <w:pPr>
        <w:pStyle w:val="FootnoteText"/>
      </w:pPr>
      <w:r>
        <w:rPr>
          <w:rStyle w:val="FootnoteReference"/>
        </w:rPr>
        <w:footnoteRef/>
      </w:r>
      <w:r>
        <w:t xml:space="preserve"> Depreciation methods, criteria for capitalisation of development costs, currency translation method, and identification of whether the company has reportable segments.</w:t>
      </w:r>
    </w:p>
  </w:footnote>
  <w:footnote w:id="44">
    <w:p w14:paraId="4ACED108" w14:textId="77777777" w:rsidR="0088499E" w:rsidRDefault="0088499E">
      <w:pPr>
        <w:pStyle w:val="FootnoteText"/>
      </w:pPr>
      <w:r>
        <w:rPr>
          <w:rStyle w:val="FootnoteReference"/>
        </w:rPr>
        <w:footnoteRef/>
      </w:r>
      <w:r>
        <w:t xml:space="preserve"> Classification of leases and, to some extent, the use of hedge accounting (which rests, </w:t>
      </w:r>
      <w:r w:rsidRPr="0073694B">
        <w:rPr>
          <w:i/>
        </w:rPr>
        <w:t>inter alia</w:t>
      </w:r>
      <w:r>
        <w:t>, on whether the company has purchased a hedging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983CA" w14:textId="77777777" w:rsidR="0088499E" w:rsidRDefault="00B01DA9">
    <w:pPr>
      <w:pStyle w:val="Header"/>
      <w:jc w:val="right"/>
    </w:pPr>
    <w:r>
      <w:fldChar w:fldCharType="begin"/>
    </w:r>
    <w:r>
      <w:instrText xml:space="preserve"> PAGE   \* MERGEFORMAT </w:instrText>
    </w:r>
    <w:r>
      <w:fldChar w:fldCharType="separate"/>
    </w:r>
    <w:r w:rsidR="00854A3E">
      <w:rPr>
        <w:noProof/>
      </w:rPr>
      <w:t>48</w:t>
    </w:r>
    <w:r>
      <w:rPr>
        <w:noProof/>
      </w:rPr>
      <w:fldChar w:fldCharType="end"/>
    </w:r>
  </w:p>
  <w:p w14:paraId="3751DB03" w14:textId="77777777" w:rsidR="0088499E" w:rsidRDefault="00884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8CB0" w14:textId="77777777" w:rsidR="0088499E" w:rsidRDefault="00B01DA9">
    <w:pPr>
      <w:pStyle w:val="Header"/>
      <w:jc w:val="right"/>
    </w:pPr>
    <w:r>
      <w:fldChar w:fldCharType="begin"/>
    </w:r>
    <w:r>
      <w:instrText xml:space="preserve"> PAGE   \* MERGEFORMAT </w:instrText>
    </w:r>
    <w:r>
      <w:fldChar w:fldCharType="separate"/>
    </w:r>
    <w:r w:rsidR="00854A3E">
      <w:rPr>
        <w:noProof/>
      </w:rPr>
      <w:t>52</w:t>
    </w:r>
    <w:r>
      <w:rPr>
        <w:noProof/>
      </w:rPr>
      <w:fldChar w:fldCharType="end"/>
    </w:r>
  </w:p>
  <w:p w14:paraId="4E07FA0D" w14:textId="77777777" w:rsidR="0088499E" w:rsidRDefault="00884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8593" w14:textId="77777777" w:rsidR="0088499E" w:rsidRDefault="0088499E" w:rsidP="000B49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23577" w14:textId="77777777" w:rsidR="0088499E" w:rsidRDefault="0088499E" w:rsidP="000B4975">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8EDA" w14:textId="77777777" w:rsidR="0088499E" w:rsidRDefault="0088499E" w:rsidP="000B49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A3E">
      <w:rPr>
        <w:rStyle w:val="PageNumber"/>
        <w:noProof/>
      </w:rPr>
      <w:t>58</w:t>
    </w:r>
    <w:r>
      <w:rPr>
        <w:rStyle w:val="PageNumber"/>
      </w:rPr>
      <w:fldChar w:fldCharType="end"/>
    </w:r>
  </w:p>
  <w:p w14:paraId="5CB41F87" w14:textId="77777777" w:rsidR="0088499E" w:rsidRDefault="0088499E" w:rsidP="000B497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A6C89"/>
    <w:multiLevelType w:val="hybridMultilevel"/>
    <w:tmpl w:val="CA26D034"/>
    <w:lvl w:ilvl="0" w:tplc="CAFCBCDC">
      <w:start w:val="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CA5DFD"/>
    <w:multiLevelType w:val="hybridMultilevel"/>
    <w:tmpl w:val="519ACF9C"/>
    <w:lvl w:ilvl="0" w:tplc="2960ABFC">
      <w:start w:val="1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901AA"/>
    <w:multiLevelType w:val="hybridMultilevel"/>
    <w:tmpl w:val="4CB63BB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B517BAB"/>
    <w:multiLevelType w:val="multilevel"/>
    <w:tmpl w:val="7FAA1044"/>
    <w:lvl w:ilvl="0">
      <w:start w:val="6"/>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2DF434D3"/>
    <w:multiLevelType w:val="multilevel"/>
    <w:tmpl w:val="61383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863AF3"/>
    <w:multiLevelType w:val="hybridMultilevel"/>
    <w:tmpl w:val="89A60A24"/>
    <w:lvl w:ilvl="0" w:tplc="42AAFC74">
      <w:start w:val="1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77BBD"/>
    <w:multiLevelType w:val="hybridMultilevel"/>
    <w:tmpl w:val="2456580C"/>
    <w:lvl w:ilvl="0" w:tplc="2D20783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E7C87"/>
    <w:multiLevelType w:val="hybridMultilevel"/>
    <w:tmpl w:val="64EC49BE"/>
    <w:lvl w:ilvl="0" w:tplc="5A90AC16">
      <w:start w:val="3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02AF0"/>
    <w:multiLevelType w:val="hybridMultilevel"/>
    <w:tmpl w:val="706A2508"/>
    <w:lvl w:ilvl="0" w:tplc="E61A022A">
      <w:start w:val="1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F4"/>
    <w:rsid w:val="000014D6"/>
    <w:rsid w:val="00017B3B"/>
    <w:rsid w:val="00021844"/>
    <w:rsid w:val="000305A5"/>
    <w:rsid w:val="00030968"/>
    <w:rsid w:val="000313E8"/>
    <w:rsid w:val="00032098"/>
    <w:rsid w:val="00037369"/>
    <w:rsid w:val="00040280"/>
    <w:rsid w:val="00043BDB"/>
    <w:rsid w:val="00047DAD"/>
    <w:rsid w:val="00052EC6"/>
    <w:rsid w:val="000565F3"/>
    <w:rsid w:val="00060B91"/>
    <w:rsid w:val="00064748"/>
    <w:rsid w:val="00065076"/>
    <w:rsid w:val="00067605"/>
    <w:rsid w:val="00067D2E"/>
    <w:rsid w:val="00073C67"/>
    <w:rsid w:val="00075C34"/>
    <w:rsid w:val="00080CC8"/>
    <w:rsid w:val="00081720"/>
    <w:rsid w:val="000826F5"/>
    <w:rsid w:val="00083867"/>
    <w:rsid w:val="0008486F"/>
    <w:rsid w:val="00085230"/>
    <w:rsid w:val="00085291"/>
    <w:rsid w:val="00091613"/>
    <w:rsid w:val="0009176C"/>
    <w:rsid w:val="00095814"/>
    <w:rsid w:val="000A0AC8"/>
    <w:rsid w:val="000B460A"/>
    <w:rsid w:val="000B4975"/>
    <w:rsid w:val="000B6B4D"/>
    <w:rsid w:val="000B75E7"/>
    <w:rsid w:val="000C014C"/>
    <w:rsid w:val="000C20F7"/>
    <w:rsid w:val="000C2D87"/>
    <w:rsid w:val="000D1830"/>
    <w:rsid w:val="000D3BA6"/>
    <w:rsid w:val="000D7D94"/>
    <w:rsid w:val="000E4609"/>
    <w:rsid w:val="000E48C1"/>
    <w:rsid w:val="000F0496"/>
    <w:rsid w:val="000F1A7F"/>
    <w:rsid w:val="000F1E86"/>
    <w:rsid w:val="000F448C"/>
    <w:rsid w:val="000F58E1"/>
    <w:rsid w:val="000F5E32"/>
    <w:rsid w:val="00100E5F"/>
    <w:rsid w:val="00102544"/>
    <w:rsid w:val="00105319"/>
    <w:rsid w:val="001067DF"/>
    <w:rsid w:val="001069FA"/>
    <w:rsid w:val="00107C1A"/>
    <w:rsid w:val="00110ADA"/>
    <w:rsid w:val="001111DA"/>
    <w:rsid w:val="0011139E"/>
    <w:rsid w:val="001125B9"/>
    <w:rsid w:val="001168F5"/>
    <w:rsid w:val="00122B53"/>
    <w:rsid w:val="00123316"/>
    <w:rsid w:val="0012372D"/>
    <w:rsid w:val="00125FF0"/>
    <w:rsid w:val="00126A28"/>
    <w:rsid w:val="00137E68"/>
    <w:rsid w:val="001428A3"/>
    <w:rsid w:val="00153AE0"/>
    <w:rsid w:val="0015427B"/>
    <w:rsid w:val="001559BF"/>
    <w:rsid w:val="00165909"/>
    <w:rsid w:val="00166C78"/>
    <w:rsid w:val="0017315A"/>
    <w:rsid w:val="00176A19"/>
    <w:rsid w:val="00181C2B"/>
    <w:rsid w:val="001865F3"/>
    <w:rsid w:val="00186FE1"/>
    <w:rsid w:val="00190EA2"/>
    <w:rsid w:val="0019592A"/>
    <w:rsid w:val="001A2C7E"/>
    <w:rsid w:val="001A3CD8"/>
    <w:rsid w:val="001A3F30"/>
    <w:rsid w:val="001A5B14"/>
    <w:rsid w:val="001B0117"/>
    <w:rsid w:val="001B0ED6"/>
    <w:rsid w:val="001B4807"/>
    <w:rsid w:val="001C1307"/>
    <w:rsid w:val="001C29AF"/>
    <w:rsid w:val="001D2A43"/>
    <w:rsid w:val="001D7A88"/>
    <w:rsid w:val="001E04FD"/>
    <w:rsid w:val="001E5B50"/>
    <w:rsid w:val="001F0615"/>
    <w:rsid w:val="001F333F"/>
    <w:rsid w:val="001F43D6"/>
    <w:rsid w:val="001F4CAA"/>
    <w:rsid w:val="002008CE"/>
    <w:rsid w:val="00203FAD"/>
    <w:rsid w:val="00205C7C"/>
    <w:rsid w:val="00211FBE"/>
    <w:rsid w:val="002134D0"/>
    <w:rsid w:val="002151FF"/>
    <w:rsid w:val="00215480"/>
    <w:rsid w:val="002157CC"/>
    <w:rsid w:val="00216ED7"/>
    <w:rsid w:val="002213B8"/>
    <w:rsid w:val="0022189B"/>
    <w:rsid w:val="00221FC6"/>
    <w:rsid w:val="00222EE8"/>
    <w:rsid w:val="00223850"/>
    <w:rsid w:val="00223A52"/>
    <w:rsid w:val="00224588"/>
    <w:rsid w:val="00230721"/>
    <w:rsid w:val="00247C56"/>
    <w:rsid w:val="002527C1"/>
    <w:rsid w:val="002536FA"/>
    <w:rsid w:val="00255C24"/>
    <w:rsid w:val="002571A2"/>
    <w:rsid w:val="0026272F"/>
    <w:rsid w:val="002701E8"/>
    <w:rsid w:val="00270A64"/>
    <w:rsid w:val="002727FC"/>
    <w:rsid w:val="00280294"/>
    <w:rsid w:val="002805CA"/>
    <w:rsid w:val="0028081C"/>
    <w:rsid w:val="002859C0"/>
    <w:rsid w:val="00290ED1"/>
    <w:rsid w:val="0029273D"/>
    <w:rsid w:val="002972D1"/>
    <w:rsid w:val="0029758B"/>
    <w:rsid w:val="002B1770"/>
    <w:rsid w:val="002B1DBF"/>
    <w:rsid w:val="002B2778"/>
    <w:rsid w:val="002B3B38"/>
    <w:rsid w:val="002C6A6B"/>
    <w:rsid w:val="002C7C1F"/>
    <w:rsid w:val="002D17FB"/>
    <w:rsid w:val="002D5B1D"/>
    <w:rsid w:val="002E724B"/>
    <w:rsid w:val="002F207A"/>
    <w:rsid w:val="002F4BB4"/>
    <w:rsid w:val="002F61F1"/>
    <w:rsid w:val="002F6715"/>
    <w:rsid w:val="00304A95"/>
    <w:rsid w:val="0030693E"/>
    <w:rsid w:val="00311055"/>
    <w:rsid w:val="0031431B"/>
    <w:rsid w:val="00317A8E"/>
    <w:rsid w:val="00321AD5"/>
    <w:rsid w:val="0032548A"/>
    <w:rsid w:val="00326799"/>
    <w:rsid w:val="00327AEF"/>
    <w:rsid w:val="003408AB"/>
    <w:rsid w:val="003442E2"/>
    <w:rsid w:val="003471CF"/>
    <w:rsid w:val="00356B8F"/>
    <w:rsid w:val="00363515"/>
    <w:rsid w:val="00370D9B"/>
    <w:rsid w:val="0037111A"/>
    <w:rsid w:val="003715FE"/>
    <w:rsid w:val="00377BF1"/>
    <w:rsid w:val="003A097C"/>
    <w:rsid w:val="003A0DBE"/>
    <w:rsid w:val="003A3F02"/>
    <w:rsid w:val="003A5CAD"/>
    <w:rsid w:val="003B586A"/>
    <w:rsid w:val="003B6AC3"/>
    <w:rsid w:val="003C5841"/>
    <w:rsid w:val="003C7B7E"/>
    <w:rsid w:val="003E0A55"/>
    <w:rsid w:val="003F0909"/>
    <w:rsid w:val="003F1EA8"/>
    <w:rsid w:val="003F29E2"/>
    <w:rsid w:val="003F3283"/>
    <w:rsid w:val="003F4D94"/>
    <w:rsid w:val="003F554E"/>
    <w:rsid w:val="00402205"/>
    <w:rsid w:val="00415019"/>
    <w:rsid w:val="004204A5"/>
    <w:rsid w:val="0043189D"/>
    <w:rsid w:val="00432914"/>
    <w:rsid w:val="00434D28"/>
    <w:rsid w:val="004368BA"/>
    <w:rsid w:val="00436C4A"/>
    <w:rsid w:val="004370BE"/>
    <w:rsid w:val="004441D7"/>
    <w:rsid w:val="0044720E"/>
    <w:rsid w:val="00454F43"/>
    <w:rsid w:val="004554C4"/>
    <w:rsid w:val="00457D35"/>
    <w:rsid w:val="004610A8"/>
    <w:rsid w:val="00461138"/>
    <w:rsid w:val="00462D79"/>
    <w:rsid w:val="00463D04"/>
    <w:rsid w:val="00463E24"/>
    <w:rsid w:val="00477429"/>
    <w:rsid w:val="00480CAC"/>
    <w:rsid w:val="00482BE1"/>
    <w:rsid w:val="0048484D"/>
    <w:rsid w:val="00484EA2"/>
    <w:rsid w:val="00491A71"/>
    <w:rsid w:val="00492B8F"/>
    <w:rsid w:val="00492D1C"/>
    <w:rsid w:val="004958FC"/>
    <w:rsid w:val="00496378"/>
    <w:rsid w:val="004A43C4"/>
    <w:rsid w:val="004B6467"/>
    <w:rsid w:val="004C07A2"/>
    <w:rsid w:val="004C2AB6"/>
    <w:rsid w:val="004C3089"/>
    <w:rsid w:val="004C37B6"/>
    <w:rsid w:val="004C5191"/>
    <w:rsid w:val="004C5531"/>
    <w:rsid w:val="004C563B"/>
    <w:rsid w:val="004C6B22"/>
    <w:rsid w:val="004D1B3C"/>
    <w:rsid w:val="004D5A69"/>
    <w:rsid w:val="004E0618"/>
    <w:rsid w:val="004E0F3B"/>
    <w:rsid w:val="004E1511"/>
    <w:rsid w:val="004E46AE"/>
    <w:rsid w:val="004E73A8"/>
    <w:rsid w:val="004F1B00"/>
    <w:rsid w:val="004F2C16"/>
    <w:rsid w:val="004F3743"/>
    <w:rsid w:val="004F6D6C"/>
    <w:rsid w:val="0050120D"/>
    <w:rsid w:val="00503E19"/>
    <w:rsid w:val="00506CB7"/>
    <w:rsid w:val="0051047B"/>
    <w:rsid w:val="005156C5"/>
    <w:rsid w:val="00515E9A"/>
    <w:rsid w:val="00516BE3"/>
    <w:rsid w:val="00524A17"/>
    <w:rsid w:val="00524EF3"/>
    <w:rsid w:val="0052676F"/>
    <w:rsid w:val="005318BF"/>
    <w:rsid w:val="00537448"/>
    <w:rsid w:val="00541AC1"/>
    <w:rsid w:val="005526BA"/>
    <w:rsid w:val="005564E7"/>
    <w:rsid w:val="00556D92"/>
    <w:rsid w:val="00557E62"/>
    <w:rsid w:val="00563631"/>
    <w:rsid w:val="00565987"/>
    <w:rsid w:val="00567A9A"/>
    <w:rsid w:val="005724E9"/>
    <w:rsid w:val="00575DB8"/>
    <w:rsid w:val="00577980"/>
    <w:rsid w:val="0058686E"/>
    <w:rsid w:val="005A0399"/>
    <w:rsid w:val="005B4D56"/>
    <w:rsid w:val="005C05D8"/>
    <w:rsid w:val="005E69FF"/>
    <w:rsid w:val="00605851"/>
    <w:rsid w:val="00610F47"/>
    <w:rsid w:val="006122AE"/>
    <w:rsid w:val="0061271B"/>
    <w:rsid w:val="00614757"/>
    <w:rsid w:val="00620A0D"/>
    <w:rsid w:val="00622726"/>
    <w:rsid w:val="00623D16"/>
    <w:rsid w:val="00624251"/>
    <w:rsid w:val="00630A54"/>
    <w:rsid w:val="006327F3"/>
    <w:rsid w:val="00633E32"/>
    <w:rsid w:val="00636B5B"/>
    <w:rsid w:val="006402E2"/>
    <w:rsid w:val="006446ED"/>
    <w:rsid w:val="00651036"/>
    <w:rsid w:val="006615FB"/>
    <w:rsid w:val="00664974"/>
    <w:rsid w:val="006715EE"/>
    <w:rsid w:val="00672F06"/>
    <w:rsid w:val="0067308D"/>
    <w:rsid w:val="00675220"/>
    <w:rsid w:val="00680774"/>
    <w:rsid w:val="0069500B"/>
    <w:rsid w:val="006955A6"/>
    <w:rsid w:val="00696B77"/>
    <w:rsid w:val="00696E6C"/>
    <w:rsid w:val="00697480"/>
    <w:rsid w:val="006A24A0"/>
    <w:rsid w:val="006A2A76"/>
    <w:rsid w:val="006B0A5D"/>
    <w:rsid w:val="006B14AD"/>
    <w:rsid w:val="006B5D34"/>
    <w:rsid w:val="006C07AB"/>
    <w:rsid w:val="006C0CF4"/>
    <w:rsid w:val="006C3DAA"/>
    <w:rsid w:val="006C59D7"/>
    <w:rsid w:val="006D3A34"/>
    <w:rsid w:val="006D3A41"/>
    <w:rsid w:val="006D72B2"/>
    <w:rsid w:val="006E076D"/>
    <w:rsid w:val="006E0D08"/>
    <w:rsid w:val="006E42F9"/>
    <w:rsid w:val="006E5ADF"/>
    <w:rsid w:val="006E689A"/>
    <w:rsid w:val="006F0C33"/>
    <w:rsid w:val="006F353C"/>
    <w:rsid w:val="006F455B"/>
    <w:rsid w:val="006F712A"/>
    <w:rsid w:val="00702939"/>
    <w:rsid w:val="00702B72"/>
    <w:rsid w:val="00704228"/>
    <w:rsid w:val="007169A5"/>
    <w:rsid w:val="00717842"/>
    <w:rsid w:val="00723160"/>
    <w:rsid w:val="00723215"/>
    <w:rsid w:val="00731877"/>
    <w:rsid w:val="0073694B"/>
    <w:rsid w:val="00743EE5"/>
    <w:rsid w:val="00745ADC"/>
    <w:rsid w:val="00751551"/>
    <w:rsid w:val="00754434"/>
    <w:rsid w:val="007568C6"/>
    <w:rsid w:val="00760478"/>
    <w:rsid w:val="00762740"/>
    <w:rsid w:val="007657A6"/>
    <w:rsid w:val="00771EEA"/>
    <w:rsid w:val="00773DC0"/>
    <w:rsid w:val="0077475B"/>
    <w:rsid w:val="00776A4D"/>
    <w:rsid w:val="00776D52"/>
    <w:rsid w:val="007809AF"/>
    <w:rsid w:val="007812B1"/>
    <w:rsid w:val="00787859"/>
    <w:rsid w:val="00794D7F"/>
    <w:rsid w:val="00795BAB"/>
    <w:rsid w:val="00795DF8"/>
    <w:rsid w:val="00796E3F"/>
    <w:rsid w:val="007A331C"/>
    <w:rsid w:val="007A56B3"/>
    <w:rsid w:val="007B115C"/>
    <w:rsid w:val="007B1D41"/>
    <w:rsid w:val="007C0557"/>
    <w:rsid w:val="007C5C7A"/>
    <w:rsid w:val="007D1A7E"/>
    <w:rsid w:val="007D28F2"/>
    <w:rsid w:val="007D2915"/>
    <w:rsid w:val="007D29BA"/>
    <w:rsid w:val="007D3E68"/>
    <w:rsid w:val="007D5ADF"/>
    <w:rsid w:val="007E2E40"/>
    <w:rsid w:val="007F681E"/>
    <w:rsid w:val="00801669"/>
    <w:rsid w:val="00805B64"/>
    <w:rsid w:val="00812566"/>
    <w:rsid w:val="00820C95"/>
    <w:rsid w:val="00821849"/>
    <w:rsid w:val="008229EE"/>
    <w:rsid w:val="00825B2F"/>
    <w:rsid w:val="00836075"/>
    <w:rsid w:val="00836CA6"/>
    <w:rsid w:val="00840C92"/>
    <w:rsid w:val="0084591F"/>
    <w:rsid w:val="00845C81"/>
    <w:rsid w:val="00847DE4"/>
    <w:rsid w:val="008515DC"/>
    <w:rsid w:val="00854A3E"/>
    <w:rsid w:val="00854E2D"/>
    <w:rsid w:val="00855DE5"/>
    <w:rsid w:val="00862237"/>
    <w:rsid w:val="008814F9"/>
    <w:rsid w:val="0088499E"/>
    <w:rsid w:val="008855D3"/>
    <w:rsid w:val="00893377"/>
    <w:rsid w:val="008943D4"/>
    <w:rsid w:val="008A06E5"/>
    <w:rsid w:val="008A1BA2"/>
    <w:rsid w:val="008A1FE6"/>
    <w:rsid w:val="008A3BBF"/>
    <w:rsid w:val="008A5276"/>
    <w:rsid w:val="008A6EC8"/>
    <w:rsid w:val="008B516F"/>
    <w:rsid w:val="008B70DA"/>
    <w:rsid w:val="008B727D"/>
    <w:rsid w:val="008B7BA0"/>
    <w:rsid w:val="008C07F6"/>
    <w:rsid w:val="008C16B0"/>
    <w:rsid w:val="008C678E"/>
    <w:rsid w:val="008D1F0A"/>
    <w:rsid w:val="008D35F2"/>
    <w:rsid w:val="008D3873"/>
    <w:rsid w:val="008D69CC"/>
    <w:rsid w:val="008E0A88"/>
    <w:rsid w:val="008E1787"/>
    <w:rsid w:val="008E231D"/>
    <w:rsid w:val="008F1F5E"/>
    <w:rsid w:val="008F4C6B"/>
    <w:rsid w:val="008F640A"/>
    <w:rsid w:val="008F7B54"/>
    <w:rsid w:val="00900CB4"/>
    <w:rsid w:val="00901114"/>
    <w:rsid w:val="00901ED7"/>
    <w:rsid w:val="00902714"/>
    <w:rsid w:val="0090443E"/>
    <w:rsid w:val="009207FC"/>
    <w:rsid w:val="00923F46"/>
    <w:rsid w:val="00927639"/>
    <w:rsid w:val="009322EA"/>
    <w:rsid w:val="009338CA"/>
    <w:rsid w:val="00945F31"/>
    <w:rsid w:val="00947843"/>
    <w:rsid w:val="00960CA1"/>
    <w:rsid w:val="00967EC1"/>
    <w:rsid w:val="00971556"/>
    <w:rsid w:val="00971CF3"/>
    <w:rsid w:val="00977055"/>
    <w:rsid w:val="00980032"/>
    <w:rsid w:val="0098019C"/>
    <w:rsid w:val="009812FA"/>
    <w:rsid w:val="00985DE9"/>
    <w:rsid w:val="0098655C"/>
    <w:rsid w:val="00986FDE"/>
    <w:rsid w:val="00990C6E"/>
    <w:rsid w:val="009934CB"/>
    <w:rsid w:val="009A128A"/>
    <w:rsid w:val="009A5FFE"/>
    <w:rsid w:val="009B1520"/>
    <w:rsid w:val="009B7DF9"/>
    <w:rsid w:val="009C0CE3"/>
    <w:rsid w:val="009C2C75"/>
    <w:rsid w:val="009D2C71"/>
    <w:rsid w:val="009D78B5"/>
    <w:rsid w:val="009E2869"/>
    <w:rsid w:val="009E3325"/>
    <w:rsid w:val="009E4441"/>
    <w:rsid w:val="009E7D9E"/>
    <w:rsid w:val="009F0856"/>
    <w:rsid w:val="009F3BAE"/>
    <w:rsid w:val="009F3F8D"/>
    <w:rsid w:val="00A00558"/>
    <w:rsid w:val="00A030B8"/>
    <w:rsid w:val="00A038F5"/>
    <w:rsid w:val="00A0509C"/>
    <w:rsid w:val="00A06B42"/>
    <w:rsid w:val="00A15F8F"/>
    <w:rsid w:val="00A228B7"/>
    <w:rsid w:val="00A278D1"/>
    <w:rsid w:val="00A27C87"/>
    <w:rsid w:val="00A31582"/>
    <w:rsid w:val="00A32ECB"/>
    <w:rsid w:val="00A332D6"/>
    <w:rsid w:val="00A3398D"/>
    <w:rsid w:val="00A368A2"/>
    <w:rsid w:val="00A40CD3"/>
    <w:rsid w:val="00A43386"/>
    <w:rsid w:val="00A43A95"/>
    <w:rsid w:val="00A44892"/>
    <w:rsid w:val="00A44E71"/>
    <w:rsid w:val="00A51222"/>
    <w:rsid w:val="00A532A9"/>
    <w:rsid w:val="00A5465F"/>
    <w:rsid w:val="00A60F43"/>
    <w:rsid w:val="00A72716"/>
    <w:rsid w:val="00A74E52"/>
    <w:rsid w:val="00A83F9C"/>
    <w:rsid w:val="00A92D9A"/>
    <w:rsid w:val="00AA5C30"/>
    <w:rsid w:val="00AC4A13"/>
    <w:rsid w:val="00AD13BB"/>
    <w:rsid w:val="00AD543B"/>
    <w:rsid w:val="00AD5E65"/>
    <w:rsid w:val="00AD7C7D"/>
    <w:rsid w:val="00AE0B5A"/>
    <w:rsid w:val="00AE1255"/>
    <w:rsid w:val="00AE3095"/>
    <w:rsid w:val="00AE3F2F"/>
    <w:rsid w:val="00AF569C"/>
    <w:rsid w:val="00B01DA9"/>
    <w:rsid w:val="00B04E86"/>
    <w:rsid w:val="00B055C7"/>
    <w:rsid w:val="00B0622C"/>
    <w:rsid w:val="00B13657"/>
    <w:rsid w:val="00B13BF7"/>
    <w:rsid w:val="00B1618F"/>
    <w:rsid w:val="00B221D8"/>
    <w:rsid w:val="00B22F15"/>
    <w:rsid w:val="00B340A1"/>
    <w:rsid w:val="00B440D4"/>
    <w:rsid w:val="00B55087"/>
    <w:rsid w:val="00B56FF4"/>
    <w:rsid w:val="00B627FF"/>
    <w:rsid w:val="00B63B4D"/>
    <w:rsid w:val="00B63E94"/>
    <w:rsid w:val="00B66972"/>
    <w:rsid w:val="00B74BBA"/>
    <w:rsid w:val="00B756B9"/>
    <w:rsid w:val="00B809FD"/>
    <w:rsid w:val="00B810D4"/>
    <w:rsid w:val="00B82508"/>
    <w:rsid w:val="00B952C1"/>
    <w:rsid w:val="00B95615"/>
    <w:rsid w:val="00BA1F90"/>
    <w:rsid w:val="00BA2982"/>
    <w:rsid w:val="00BA4F8E"/>
    <w:rsid w:val="00BB0B73"/>
    <w:rsid w:val="00BB1CA6"/>
    <w:rsid w:val="00BB635E"/>
    <w:rsid w:val="00BC4CED"/>
    <w:rsid w:val="00BC66BF"/>
    <w:rsid w:val="00BC7D5B"/>
    <w:rsid w:val="00BD0A0D"/>
    <w:rsid w:val="00BD677D"/>
    <w:rsid w:val="00BD6B5C"/>
    <w:rsid w:val="00BE2FAC"/>
    <w:rsid w:val="00BE37E5"/>
    <w:rsid w:val="00C01F9F"/>
    <w:rsid w:val="00C02AC6"/>
    <w:rsid w:val="00C36767"/>
    <w:rsid w:val="00C37250"/>
    <w:rsid w:val="00C41E87"/>
    <w:rsid w:val="00C4215C"/>
    <w:rsid w:val="00C43C3B"/>
    <w:rsid w:val="00C44230"/>
    <w:rsid w:val="00C4783D"/>
    <w:rsid w:val="00C5073D"/>
    <w:rsid w:val="00C5248D"/>
    <w:rsid w:val="00C529C5"/>
    <w:rsid w:val="00C55DAB"/>
    <w:rsid w:val="00C5664B"/>
    <w:rsid w:val="00C60626"/>
    <w:rsid w:val="00C61DEC"/>
    <w:rsid w:val="00C669E9"/>
    <w:rsid w:val="00C66E10"/>
    <w:rsid w:val="00C737AB"/>
    <w:rsid w:val="00C86A3A"/>
    <w:rsid w:val="00C9284F"/>
    <w:rsid w:val="00C949B4"/>
    <w:rsid w:val="00CA0FF3"/>
    <w:rsid w:val="00CA176B"/>
    <w:rsid w:val="00CA1FFB"/>
    <w:rsid w:val="00CA6D6C"/>
    <w:rsid w:val="00CB6939"/>
    <w:rsid w:val="00CC3BAF"/>
    <w:rsid w:val="00CC4843"/>
    <w:rsid w:val="00CC6F00"/>
    <w:rsid w:val="00CD2A61"/>
    <w:rsid w:val="00CD346F"/>
    <w:rsid w:val="00CD56B7"/>
    <w:rsid w:val="00CE2173"/>
    <w:rsid w:val="00CE3527"/>
    <w:rsid w:val="00CE67ED"/>
    <w:rsid w:val="00CE76AB"/>
    <w:rsid w:val="00CF177D"/>
    <w:rsid w:val="00CF5DCF"/>
    <w:rsid w:val="00D14624"/>
    <w:rsid w:val="00D17D45"/>
    <w:rsid w:val="00D2643B"/>
    <w:rsid w:val="00D2650B"/>
    <w:rsid w:val="00D308EB"/>
    <w:rsid w:val="00D32DD0"/>
    <w:rsid w:val="00D32F66"/>
    <w:rsid w:val="00D3346C"/>
    <w:rsid w:val="00D35A10"/>
    <w:rsid w:val="00D35C58"/>
    <w:rsid w:val="00D36682"/>
    <w:rsid w:val="00D4004F"/>
    <w:rsid w:val="00D44EF4"/>
    <w:rsid w:val="00D463F7"/>
    <w:rsid w:val="00D54CCD"/>
    <w:rsid w:val="00D560D7"/>
    <w:rsid w:val="00D60AF5"/>
    <w:rsid w:val="00D61B89"/>
    <w:rsid w:val="00D61BD6"/>
    <w:rsid w:val="00D62F29"/>
    <w:rsid w:val="00D66E36"/>
    <w:rsid w:val="00D67222"/>
    <w:rsid w:val="00D67943"/>
    <w:rsid w:val="00D728B6"/>
    <w:rsid w:val="00D75958"/>
    <w:rsid w:val="00D80AFC"/>
    <w:rsid w:val="00D810AD"/>
    <w:rsid w:val="00D81375"/>
    <w:rsid w:val="00D82712"/>
    <w:rsid w:val="00D83433"/>
    <w:rsid w:val="00D92DA6"/>
    <w:rsid w:val="00DA4317"/>
    <w:rsid w:val="00DA4C27"/>
    <w:rsid w:val="00DD126B"/>
    <w:rsid w:val="00DD247A"/>
    <w:rsid w:val="00DD2553"/>
    <w:rsid w:val="00DE065B"/>
    <w:rsid w:val="00DE4A00"/>
    <w:rsid w:val="00DF01EA"/>
    <w:rsid w:val="00DF06C3"/>
    <w:rsid w:val="00DF5CD6"/>
    <w:rsid w:val="00DF66E0"/>
    <w:rsid w:val="00E00281"/>
    <w:rsid w:val="00E0617B"/>
    <w:rsid w:val="00E06475"/>
    <w:rsid w:val="00E07F37"/>
    <w:rsid w:val="00E13357"/>
    <w:rsid w:val="00E1745C"/>
    <w:rsid w:val="00E21E9E"/>
    <w:rsid w:val="00E227F2"/>
    <w:rsid w:val="00E400B1"/>
    <w:rsid w:val="00E42038"/>
    <w:rsid w:val="00E440FE"/>
    <w:rsid w:val="00E44320"/>
    <w:rsid w:val="00E570BE"/>
    <w:rsid w:val="00E57A1B"/>
    <w:rsid w:val="00E649EE"/>
    <w:rsid w:val="00E73F6E"/>
    <w:rsid w:val="00E829D8"/>
    <w:rsid w:val="00E83BD5"/>
    <w:rsid w:val="00E846DD"/>
    <w:rsid w:val="00E84964"/>
    <w:rsid w:val="00E86061"/>
    <w:rsid w:val="00E87CB6"/>
    <w:rsid w:val="00E94290"/>
    <w:rsid w:val="00EA0718"/>
    <w:rsid w:val="00EA424A"/>
    <w:rsid w:val="00EA5328"/>
    <w:rsid w:val="00EB2A08"/>
    <w:rsid w:val="00EB2B94"/>
    <w:rsid w:val="00EB54A6"/>
    <w:rsid w:val="00EB68E4"/>
    <w:rsid w:val="00EB73F2"/>
    <w:rsid w:val="00EC140B"/>
    <w:rsid w:val="00EC266D"/>
    <w:rsid w:val="00EC2AFC"/>
    <w:rsid w:val="00EC51AF"/>
    <w:rsid w:val="00EC67BF"/>
    <w:rsid w:val="00EC7199"/>
    <w:rsid w:val="00EE165F"/>
    <w:rsid w:val="00EF229D"/>
    <w:rsid w:val="00EF415F"/>
    <w:rsid w:val="00F01ABB"/>
    <w:rsid w:val="00F074F2"/>
    <w:rsid w:val="00F10595"/>
    <w:rsid w:val="00F10F1C"/>
    <w:rsid w:val="00F139C5"/>
    <w:rsid w:val="00F2119C"/>
    <w:rsid w:val="00F2159C"/>
    <w:rsid w:val="00F304ED"/>
    <w:rsid w:val="00F32B67"/>
    <w:rsid w:val="00F34A3B"/>
    <w:rsid w:val="00F35F58"/>
    <w:rsid w:val="00F36FFE"/>
    <w:rsid w:val="00F40A9E"/>
    <w:rsid w:val="00F4336D"/>
    <w:rsid w:val="00F43F3C"/>
    <w:rsid w:val="00F5017A"/>
    <w:rsid w:val="00F5221C"/>
    <w:rsid w:val="00F569EA"/>
    <w:rsid w:val="00F6137F"/>
    <w:rsid w:val="00F664A5"/>
    <w:rsid w:val="00F66FC3"/>
    <w:rsid w:val="00F72A3A"/>
    <w:rsid w:val="00F846A4"/>
    <w:rsid w:val="00F85DAC"/>
    <w:rsid w:val="00F879DC"/>
    <w:rsid w:val="00F95B9F"/>
    <w:rsid w:val="00F96B82"/>
    <w:rsid w:val="00FA2E0C"/>
    <w:rsid w:val="00FA51DC"/>
    <w:rsid w:val="00FB5FB8"/>
    <w:rsid w:val="00FC2748"/>
    <w:rsid w:val="00FC4E9D"/>
    <w:rsid w:val="00FC4FD4"/>
    <w:rsid w:val="00FD029E"/>
    <w:rsid w:val="00FD58AE"/>
    <w:rsid w:val="00FD7339"/>
    <w:rsid w:val="00FE23B0"/>
    <w:rsid w:val="00FE5BB3"/>
    <w:rsid w:val="00FF5B13"/>
    <w:rsid w:val="00FF610C"/>
    <w:rsid w:val="00FF6E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739632AB"/>
  <w15:docId w15:val="{6C7DE1F5-9DD6-46E2-ACA6-F3AA8E93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F4"/>
    <w:pPr>
      <w:spacing w:after="200" w:line="276" w:lineRule="auto"/>
    </w:pPr>
    <w:rPr>
      <w:sz w:val="24"/>
      <w:szCs w:val="24"/>
      <w:lang w:eastAsia="en-US"/>
    </w:rPr>
  </w:style>
  <w:style w:type="paragraph" w:styleId="Heading1">
    <w:name w:val="heading 1"/>
    <w:basedOn w:val="Normal"/>
    <w:next w:val="Normal"/>
    <w:link w:val="Heading1Char"/>
    <w:uiPriority w:val="99"/>
    <w:qFormat/>
    <w:rsid w:val="00402205"/>
    <w:pPr>
      <w:keepNext/>
      <w:keepLines/>
      <w:spacing w:before="480" w:after="0"/>
      <w:outlineLvl w:val="0"/>
    </w:pPr>
    <w:rPr>
      <w:rFonts w:ascii="Arial" w:hAnsi="Ari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2205"/>
    <w:rPr>
      <w:rFonts w:ascii="Arial" w:hAnsi="Arial" w:cs="Times New Roman"/>
      <w:b/>
      <w:bCs/>
      <w:color w:val="365F91"/>
      <w:sz w:val="28"/>
      <w:szCs w:val="28"/>
    </w:rPr>
  </w:style>
  <w:style w:type="table" w:styleId="TableGrid">
    <w:name w:val="Table Grid"/>
    <w:basedOn w:val="TableNormal"/>
    <w:uiPriority w:val="99"/>
    <w:rsid w:val="00B56F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6FF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6FF4"/>
    <w:rPr>
      <w:rFonts w:cs="Times New Roman"/>
    </w:rPr>
  </w:style>
  <w:style w:type="paragraph" w:styleId="FootnoteText">
    <w:name w:val="footnote text"/>
    <w:basedOn w:val="Normal"/>
    <w:link w:val="FootnoteTextChar"/>
    <w:uiPriority w:val="99"/>
    <w:semiHidden/>
    <w:rsid w:val="00221FC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21FC6"/>
    <w:rPr>
      <w:rFonts w:cs="Times New Roman"/>
      <w:sz w:val="20"/>
      <w:szCs w:val="20"/>
    </w:rPr>
  </w:style>
  <w:style w:type="character" w:styleId="FootnoteReference">
    <w:name w:val="footnote reference"/>
    <w:basedOn w:val="DefaultParagraphFont"/>
    <w:uiPriority w:val="99"/>
    <w:semiHidden/>
    <w:rsid w:val="00221FC6"/>
    <w:rPr>
      <w:rFonts w:cs="Times New Roman"/>
      <w:vertAlign w:val="superscript"/>
    </w:rPr>
  </w:style>
  <w:style w:type="paragraph" w:styleId="ListParagraph">
    <w:name w:val="List Paragraph"/>
    <w:basedOn w:val="Normal"/>
    <w:uiPriority w:val="99"/>
    <w:qFormat/>
    <w:rsid w:val="004E0618"/>
    <w:pPr>
      <w:ind w:left="720"/>
      <w:contextualSpacing/>
    </w:pPr>
  </w:style>
  <w:style w:type="paragraph" w:styleId="Footer">
    <w:name w:val="footer"/>
    <w:basedOn w:val="Normal"/>
    <w:link w:val="FooterChar"/>
    <w:uiPriority w:val="99"/>
    <w:rsid w:val="009207F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07FC"/>
    <w:rPr>
      <w:rFonts w:cs="Times New Roman"/>
    </w:rPr>
  </w:style>
  <w:style w:type="paragraph" w:styleId="BalloonText">
    <w:name w:val="Balloon Text"/>
    <w:basedOn w:val="Normal"/>
    <w:link w:val="BalloonTextChar"/>
    <w:uiPriority w:val="99"/>
    <w:semiHidden/>
    <w:rsid w:val="0092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07FC"/>
    <w:rPr>
      <w:rFonts w:ascii="Tahoma" w:hAnsi="Tahoma" w:cs="Tahoma"/>
      <w:sz w:val="16"/>
      <w:szCs w:val="16"/>
    </w:rPr>
  </w:style>
  <w:style w:type="character" w:styleId="Hyperlink">
    <w:name w:val="Hyperlink"/>
    <w:basedOn w:val="DefaultParagraphFont"/>
    <w:uiPriority w:val="99"/>
    <w:rsid w:val="002859C0"/>
    <w:rPr>
      <w:rFonts w:cs="Times New Roman"/>
      <w:color w:val="0000FF"/>
      <w:u w:val="single"/>
    </w:rPr>
  </w:style>
  <w:style w:type="paragraph" w:customStyle="1" w:styleId="References">
    <w:name w:val="References"/>
    <w:basedOn w:val="Normal"/>
    <w:uiPriority w:val="99"/>
    <w:rsid w:val="007D5ADF"/>
    <w:pPr>
      <w:spacing w:after="0" w:line="480" w:lineRule="auto"/>
      <w:ind w:firstLine="431"/>
    </w:pPr>
    <w:rPr>
      <w:sz w:val="22"/>
      <w:szCs w:val="20"/>
      <w:lang w:val="en-US"/>
    </w:rPr>
  </w:style>
  <w:style w:type="paragraph" w:styleId="BodyTextIndent2">
    <w:name w:val="Body Text Indent 2"/>
    <w:basedOn w:val="Normal"/>
    <w:link w:val="BodyTextIndent2Char"/>
    <w:uiPriority w:val="99"/>
    <w:rsid w:val="00D81375"/>
    <w:pPr>
      <w:spacing w:after="0" w:line="240" w:lineRule="auto"/>
      <w:ind w:left="720" w:hanging="720"/>
    </w:pPr>
    <w:rPr>
      <w:szCs w:val="20"/>
    </w:rPr>
  </w:style>
  <w:style w:type="character" w:customStyle="1" w:styleId="BodyTextIndent2Char">
    <w:name w:val="Body Text Indent 2 Char"/>
    <w:basedOn w:val="DefaultParagraphFont"/>
    <w:link w:val="BodyTextIndent2"/>
    <w:uiPriority w:val="99"/>
    <w:locked/>
    <w:rsid w:val="00D81375"/>
    <w:rPr>
      <w:rFonts w:ascii="Times New Roman" w:hAnsi="Times New Roman" w:cs="Times New Roman"/>
      <w:sz w:val="20"/>
      <w:szCs w:val="20"/>
    </w:rPr>
  </w:style>
  <w:style w:type="character" w:styleId="PageNumber">
    <w:name w:val="page number"/>
    <w:basedOn w:val="DefaultParagraphFont"/>
    <w:uiPriority w:val="99"/>
    <w:rsid w:val="003F0909"/>
    <w:rPr>
      <w:rFonts w:cs="Times New Roman"/>
    </w:rPr>
  </w:style>
  <w:style w:type="character" w:styleId="CommentReference">
    <w:name w:val="annotation reference"/>
    <w:basedOn w:val="DefaultParagraphFont"/>
    <w:uiPriority w:val="99"/>
    <w:semiHidden/>
    <w:rsid w:val="00484EA2"/>
    <w:rPr>
      <w:rFonts w:cs="Times New Roman"/>
      <w:sz w:val="16"/>
      <w:szCs w:val="16"/>
    </w:rPr>
  </w:style>
  <w:style w:type="paragraph" w:styleId="CommentText">
    <w:name w:val="annotation text"/>
    <w:basedOn w:val="Normal"/>
    <w:link w:val="CommentTextChar"/>
    <w:uiPriority w:val="99"/>
    <w:semiHidden/>
    <w:rsid w:val="00484EA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84EA2"/>
    <w:rPr>
      <w:rFonts w:cs="Times New Roman"/>
      <w:sz w:val="20"/>
      <w:szCs w:val="20"/>
    </w:rPr>
  </w:style>
  <w:style w:type="paragraph" w:styleId="CommentSubject">
    <w:name w:val="annotation subject"/>
    <w:basedOn w:val="CommentText"/>
    <w:next w:val="CommentText"/>
    <w:link w:val="CommentSubjectChar"/>
    <w:uiPriority w:val="99"/>
    <w:semiHidden/>
    <w:rsid w:val="00484EA2"/>
    <w:rPr>
      <w:b/>
      <w:bCs/>
    </w:rPr>
  </w:style>
  <w:style w:type="character" w:customStyle="1" w:styleId="CommentSubjectChar">
    <w:name w:val="Comment Subject Char"/>
    <w:basedOn w:val="CommentTextChar"/>
    <w:link w:val="CommentSubject"/>
    <w:uiPriority w:val="99"/>
    <w:semiHidden/>
    <w:locked/>
    <w:rsid w:val="00484EA2"/>
    <w:rPr>
      <w:rFonts w:cs="Times New Roman"/>
      <w:b/>
      <w:bCs/>
      <w:sz w:val="20"/>
      <w:szCs w:val="20"/>
    </w:rPr>
  </w:style>
  <w:style w:type="paragraph" w:customStyle="1" w:styleId="Tabletext">
    <w:name w:val="Table text"/>
    <w:basedOn w:val="Normal"/>
    <w:uiPriority w:val="99"/>
    <w:rsid w:val="001A2C7E"/>
    <w:pPr>
      <w:spacing w:after="0" w:line="480" w:lineRule="auto"/>
    </w:pPr>
    <w:rPr>
      <w:rFonts w:ascii="Arial" w:hAnsi="Arial" w:cs="Arial"/>
      <w:sz w:val="20"/>
      <w:szCs w:val="20"/>
    </w:rPr>
  </w:style>
  <w:style w:type="paragraph" w:customStyle="1" w:styleId="Tableheading">
    <w:name w:val="Table heading"/>
    <w:basedOn w:val="Normal"/>
    <w:next w:val="Normal"/>
    <w:autoRedefine/>
    <w:uiPriority w:val="99"/>
    <w:rsid w:val="00990C6E"/>
    <w:pPr>
      <w:widowControl w:val="0"/>
      <w:spacing w:before="240" w:after="240" w:line="240" w:lineRule="auto"/>
    </w:pPr>
    <w:rPr>
      <w:b/>
      <w:bCs/>
      <w:kern w:val="28"/>
    </w:rPr>
  </w:style>
  <w:style w:type="paragraph" w:styleId="Title">
    <w:name w:val="Title"/>
    <w:basedOn w:val="Normal"/>
    <w:link w:val="TitleChar"/>
    <w:uiPriority w:val="99"/>
    <w:qFormat/>
    <w:locked/>
    <w:rsid w:val="001A2C7E"/>
    <w:pPr>
      <w:spacing w:after="0" w:line="480" w:lineRule="auto"/>
      <w:jc w:val="center"/>
    </w:pPr>
    <w:rPr>
      <w:b/>
      <w:bCs/>
    </w:rPr>
  </w:style>
  <w:style w:type="character" w:customStyle="1" w:styleId="TitleChar">
    <w:name w:val="Title Char"/>
    <w:basedOn w:val="DefaultParagraphFont"/>
    <w:link w:val="Title"/>
    <w:uiPriority w:val="99"/>
    <w:locked/>
    <w:rsid w:val="001A2C7E"/>
    <w:rPr>
      <w:rFonts w:cs="Times New Roman"/>
      <w:b/>
      <w:bCs/>
      <w:sz w:val="24"/>
      <w:szCs w:val="24"/>
      <w:lang w:eastAsia="en-US"/>
    </w:rPr>
  </w:style>
  <w:style w:type="character" w:styleId="FollowedHyperlink">
    <w:name w:val="FollowedHyperlink"/>
    <w:basedOn w:val="DefaultParagraphFont"/>
    <w:uiPriority w:val="99"/>
    <w:semiHidden/>
    <w:unhideWhenUsed/>
    <w:rsid w:val="00153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29614">
      <w:bodyDiv w:val="1"/>
      <w:marLeft w:val="0"/>
      <w:marRight w:val="0"/>
      <w:marTop w:val="0"/>
      <w:marBottom w:val="0"/>
      <w:divBdr>
        <w:top w:val="none" w:sz="0" w:space="0" w:color="auto"/>
        <w:left w:val="none" w:sz="0" w:space="0" w:color="auto"/>
        <w:bottom w:val="none" w:sz="0" w:space="0" w:color="auto"/>
        <w:right w:val="none" w:sz="0" w:space="0" w:color="auto"/>
      </w:divBdr>
      <w:divsChild>
        <w:div w:id="880170387">
          <w:marLeft w:val="0"/>
          <w:marRight w:val="0"/>
          <w:marTop w:val="0"/>
          <w:marBottom w:val="0"/>
          <w:divBdr>
            <w:top w:val="none" w:sz="0" w:space="0" w:color="auto"/>
            <w:left w:val="none" w:sz="0" w:space="0" w:color="auto"/>
            <w:bottom w:val="none" w:sz="0" w:space="0" w:color="auto"/>
            <w:right w:val="none" w:sz="0" w:space="0" w:color="auto"/>
          </w:divBdr>
          <w:divsChild>
            <w:div w:id="1333146168">
              <w:marLeft w:val="0"/>
              <w:marRight w:val="0"/>
              <w:marTop w:val="0"/>
              <w:marBottom w:val="0"/>
              <w:divBdr>
                <w:top w:val="none" w:sz="0" w:space="0" w:color="auto"/>
                <w:left w:val="none" w:sz="0" w:space="0" w:color="auto"/>
                <w:bottom w:val="none" w:sz="0" w:space="0" w:color="auto"/>
                <w:right w:val="none" w:sz="0" w:space="0" w:color="auto"/>
              </w:divBdr>
              <w:divsChild>
                <w:div w:id="1269506669">
                  <w:marLeft w:val="0"/>
                  <w:marRight w:val="0"/>
                  <w:marTop w:val="0"/>
                  <w:marBottom w:val="0"/>
                  <w:divBdr>
                    <w:top w:val="none" w:sz="0" w:space="0" w:color="auto"/>
                    <w:left w:val="none" w:sz="0" w:space="0" w:color="auto"/>
                    <w:bottom w:val="none" w:sz="0" w:space="0" w:color="auto"/>
                    <w:right w:val="none" w:sz="0" w:space="0" w:color="auto"/>
                  </w:divBdr>
                  <w:divsChild>
                    <w:div w:id="10795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com/ifrs_faqs.html" TargetMode="External"/><Relationship Id="rId13" Type="http://schemas.openxmlformats.org/officeDocument/2006/relationships/header" Target="header2.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cing.com/ComplianceSOX-ISO-BASEL-Six-Sigma-Risk/IFRS-International-Financial-Reporting-Standards" TargetMode="External"/><Relationship Id="rId5" Type="http://schemas.openxmlformats.org/officeDocument/2006/relationships/webSettings" Target="webSettings.xml"/><Relationship Id="rId15" Type="http://schemas.openxmlformats.org/officeDocument/2006/relationships/hyperlink" Target="http://www.pwc.com/us/en/issues/ifrs-reporting/country-adoption/index.jhtml" TargetMode="External"/><Relationship Id="rId10" Type="http://schemas.openxmlformats.org/officeDocument/2006/relationships/hyperlink" Target="http://ec.europa.eu/internal_market/accounting/docs/studies/2009-report_en.pdf"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bdo.ca/library/publications/aboriginal/articles/how_IFRS_can_add_value.cfm" TargetMode="External"/><Relationship Id="rId14" Type="http://schemas.openxmlformats.org/officeDocument/2006/relationships/hyperlink" Target="http://www.iasplus.com/country/useia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80E21-5009-4985-B632-A8EAE352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14208</Words>
  <Characters>80989</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Nobes, Chris</cp:lastModifiedBy>
  <cp:revision>5</cp:revision>
  <cp:lastPrinted>2013-01-14T16:48:00Z</cp:lastPrinted>
  <dcterms:created xsi:type="dcterms:W3CDTF">2018-06-26T08:55:00Z</dcterms:created>
  <dcterms:modified xsi:type="dcterms:W3CDTF">2018-06-26T09:00:00Z</dcterms:modified>
</cp:coreProperties>
</file>